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lang w:val="en-US" w:eastAsia="zh-CN"/>
        </w:rPr>
      </w:pPr>
      <w:r>
        <w:rPr>
          <w:rFonts w:hint="eastAsia"/>
          <w:lang w:val="en-US" w:eastAsia="zh-CN"/>
        </w:rPr>
        <w:t xml:space="preserve"> </w:t>
      </w:r>
      <w:bookmarkStart w:id="32" w:name="_GoBack"/>
      <w:bookmarkEnd w:id="32"/>
    </w:p>
    <w:p>
      <w:pPr>
        <w:spacing w:line="360" w:lineRule="auto"/>
        <w:jc w:val="right"/>
        <w:rPr>
          <w:lang w:eastAsia="zh-CN"/>
        </w:rPr>
      </w:pPr>
    </w:p>
    <w:p>
      <w:pPr>
        <w:spacing w:line="360" w:lineRule="auto"/>
        <w:rPr>
          <w:sz w:val="44"/>
          <w:szCs w:val="44"/>
          <w:lang w:eastAsia="zh-CN"/>
        </w:rPr>
      </w:pPr>
      <w:r>
        <w:rPr>
          <w:sz w:val="44"/>
          <w:szCs w:val="44"/>
          <w:lang w:eastAsia="zh-CN"/>
        </w:rPr>
        <w:pict>
          <v:line id="_x0000_s1049" o:spid="_x0000_s1049" o:spt="20" style="position:absolute;left:0pt;margin-left:91pt;margin-top:143.65pt;height:174.85pt;width:0.05pt;mso-position-horizontal-relative:page;mso-position-vertical-relative:page;z-index:-251656192;mso-width-relative:page;mso-height-relative:page;" filled="f" stroked="t" coordsize="21600,21600">
            <v:path arrowok="t"/>
            <v:fill on="f" focussize="0,0"/>
            <v:stroke weight="3pt" color="#4F82BD"/>
            <v:imagedata o:title=""/>
            <o:lock v:ext="edit" aspectratio="f"/>
          </v:line>
        </w:pict>
      </w:r>
    </w:p>
    <w:p>
      <w:pPr>
        <w:spacing w:line="360" w:lineRule="auto"/>
        <w:ind w:firstLine="1446" w:firstLineChars="200"/>
        <w:jc w:val="both"/>
        <w:rPr>
          <w:rFonts w:ascii="宋体" w:hAnsi="宋体"/>
          <w:b/>
          <w:sz w:val="72"/>
          <w:szCs w:val="72"/>
          <w:lang w:eastAsia="zh-CN"/>
        </w:rPr>
      </w:pPr>
      <w:r>
        <w:rPr>
          <w:rFonts w:hint="eastAsia" w:ascii="宋体" w:hAnsi="宋体"/>
          <w:b/>
          <w:sz w:val="72"/>
          <w:szCs w:val="72"/>
          <w:lang w:eastAsia="zh-CN"/>
        </w:rPr>
        <w:t>“浙江制造”认证</w:t>
      </w:r>
    </w:p>
    <w:p>
      <w:pPr>
        <w:spacing w:line="360" w:lineRule="auto"/>
        <w:jc w:val="center"/>
        <w:rPr>
          <w:rFonts w:ascii="宋体"/>
          <w:b/>
          <w:sz w:val="44"/>
          <w:szCs w:val="44"/>
          <w:lang w:eastAsia="zh-CN"/>
        </w:rPr>
      </w:pPr>
    </w:p>
    <w:p>
      <w:pPr>
        <w:spacing w:line="360" w:lineRule="auto"/>
        <w:jc w:val="center"/>
        <w:rPr>
          <w:rFonts w:ascii="黑体" w:hAnsi="黑体" w:eastAsia="黑体" w:cs="黑体"/>
          <w:sz w:val="72"/>
          <w:szCs w:val="72"/>
          <w:lang w:eastAsia="zh-CN"/>
        </w:rPr>
      </w:pPr>
      <w:r>
        <w:rPr>
          <w:rFonts w:ascii="宋体" w:hAnsi="宋体"/>
          <w:b/>
          <w:sz w:val="72"/>
          <w:szCs w:val="72"/>
          <w:lang w:eastAsia="zh-CN"/>
        </w:rPr>
        <w:t>20</w:t>
      </w:r>
      <w:r>
        <w:rPr>
          <w:rFonts w:hint="eastAsia" w:ascii="宋体" w:hAnsi="宋体"/>
          <w:b/>
          <w:sz w:val="72"/>
          <w:szCs w:val="72"/>
          <w:lang w:val="en-US" w:eastAsia="zh-CN"/>
        </w:rPr>
        <w:t>21</w:t>
      </w:r>
      <w:r>
        <w:rPr>
          <w:rFonts w:hint="eastAsia" w:ascii="宋体" w:hAnsi="宋体"/>
          <w:b/>
          <w:sz w:val="72"/>
          <w:szCs w:val="72"/>
          <w:lang w:eastAsia="zh-CN"/>
        </w:rPr>
        <w:t>年</w:t>
      </w:r>
      <w:r>
        <w:rPr>
          <w:rFonts w:hint="eastAsia" w:ascii="宋体" w:hAnsi="宋体"/>
          <w:b/>
          <w:sz w:val="72"/>
          <w:szCs w:val="72"/>
          <w:lang w:val="en-US" w:eastAsia="zh-CN"/>
        </w:rPr>
        <w:t>度</w:t>
      </w: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pPr>
        <w:spacing w:line="360" w:lineRule="auto"/>
        <w:jc w:val="center"/>
        <w:rPr>
          <w:sz w:val="44"/>
          <w:szCs w:val="44"/>
          <w:lang w:eastAsia="zh-CN"/>
        </w:rPr>
      </w:pPr>
    </w:p>
    <w:p>
      <w:pPr>
        <w:spacing w:line="360" w:lineRule="auto"/>
        <w:jc w:val="center"/>
        <w:rPr>
          <w:sz w:val="44"/>
          <w:szCs w:val="44"/>
          <w:lang w:eastAsia="zh-CN"/>
        </w:rPr>
      </w:pPr>
      <w:r>
        <w:rPr>
          <w:sz w:val="44"/>
          <w:szCs w:val="44"/>
          <w:lang w:eastAsia="zh-CN"/>
        </w:rPr>
        <w:drawing>
          <wp:inline distT="0" distB="0" distL="114300" distR="114300">
            <wp:extent cx="5435600" cy="3003550"/>
            <wp:effectExtent l="0" t="0" r="0" b="6350"/>
            <wp:docPr id="1" name="图片 1" descr="165502092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5020926298"/>
                    <pic:cNvPicPr>
                      <a:picLocks noChangeAspect="1"/>
                    </pic:cNvPicPr>
                  </pic:nvPicPr>
                  <pic:blipFill>
                    <a:blip r:embed="rId8"/>
                    <a:stretch>
                      <a:fillRect/>
                    </a:stretch>
                  </pic:blipFill>
                  <pic:spPr>
                    <a:xfrm>
                      <a:off x="0" y="0"/>
                      <a:ext cx="5435600" cy="3003550"/>
                    </a:xfrm>
                    <a:prstGeom prst="rect">
                      <a:avLst/>
                    </a:prstGeom>
                  </pic:spPr>
                </pic:pic>
              </a:graphicData>
            </a:graphic>
          </wp:inline>
        </w:drawing>
      </w:r>
    </w:p>
    <w:p>
      <w:pPr>
        <w:spacing w:line="360" w:lineRule="auto"/>
        <w:jc w:val="center"/>
        <w:rPr>
          <w:sz w:val="44"/>
          <w:szCs w:val="44"/>
          <w:lang w:eastAsia="zh-CN"/>
        </w:rPr>
      </w:pPr>
    </w:p>
    <w:p>
      <w:pPr>
        <w:jc w:val="center"/>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浙江中辉裘革科技有限公司</w:t>
      </w:r>
    </w:p>
    <w:p>
      <w:pPr>
        <w:jc w:val="center"/>
        <w:rPr>
          <w:rFonts w:ascii="楷体" w:hAnsi="楷体" w:eastAsia="楷体"/>
          <w:sz w:val="48"/>
          <w:szCs w:val="44"/>
          <w:lang w:eastAsia="zh-CN"/>
        </w:rPr>
      </w:pPr>
      <w:r>
        <w:rPr>
          <w:rFonts w:hint="eastAsia" w:ascii="楷体" w:hAnsi="楷体" w:eastAsia="楷体"/>
          <w:sz w:val="48"/>
          <w:szCs w:val="44"/>
          <w:highlight w:val="none"/>
        </w:rPr>
        <w:t>20</w:t>
      </w:r>
      <w:r>
        <w:rPr>
          <w:rFonts w:hint="eastAsia" w:ascii="楷体" w:hAnsi="楷体" w:eastAsia="楷体"/>
          <w:sz w:val="48"/>
          <w:szCs w:val="44"/>
          <w:highlight w:val="none"/>
          <w:lang w:val="en-US" w:eastAsia="zh-CN"/>
        </w:rPr>
        <w:t>22</w:t>
      </w:r>
      <w:r>
        <w:rPr>
          <w:rFonts w:hint="eastAsia" w:ascii="楷体" w:hAnsi="楷体" w:eastAsia="楷体"/>
          <w:sz w:val="48"/>
          <w:szCs w:val="44"/>
          <w:highlight w:val="none"/>
        </w:rPr>
        <w:t>年</w:t>
      </w:r>
      <w:r>
        <w:rPr>
          <w:rFonts w:hint="eastAsia" w:ascii="楷体" w:hAnsi="楷体" w:eastAsia="楷体"/>
          <w:sz w:val="48"/>
          <w:szCs w:val="44"/>
          <w:highlight w:val="none"/>
          <w:lang w:val="en-US" w:eastAsia="zh-CN"/>
        </w:rPr>
        <w:t>3</w:t>
      </w:r>
      <w:r>
        <w:rPr>
          <w:rFonts w:hint="eastAsia" w:ascii="楷体" w:hAnsi="楷体" w:eastAsia="楷体"/>
          <w:sz w:val="48"/>
          <w:szCs w:val="44"/>
          <w:highlight w:val="none"/>
        </w:rPr>
        <w:t>月</w:t>
      </w:r>
      <w:r>
        <w:rPr>
          <w:rFonts w:hint="eastAsia" w:ascii="楷体" w:hAnsi="楷体" w:eastAsia="楷体"/>
          <w:sz w:val="48"/>
          <w:szCs w:val="44"/>
          <w:highlight w:val="none"/>
          <w:lang w:val="en-US" w:eastAsia="zh-CN"/>
        </w:rPr>
        <w:t>20</w:t>
      </w:r>
      <w:r>
        <w:rPr>
          <w:rFonts w:hint="eastAsia" w:ascii="楷体" w:hAnsi="楷体" w:eastAsia="楷体"/>
          <w:sz w:val="48"/>
          <w:szCs w:val="44"/>
          <w:highlight w:val="none"/>
        </w:rPr>
        <w:t>日</w:t>
      </w:r>
    </w:p>
    <w:p>
      <w:pPr>
        <w:spacing w:line="360" w:lineRule="auto"/>
        <w:jc w:val="center"/>
        <w:rPr>
          <w:sz w:val="44"/>
          <w:szCs w:val="44"/>
          <w:lang w:eastAsia="zh-CN"/>
        </w:rPr>
        <w:sectPr>
          <w:headerReference r:id="rId3" w:type="default"/>
          <w:footerReference r:id="rId4" w:type="default"/>
          <w:pgSz w:w="11907" w:h="16840"/>
          <w:pgMar w:top="1480" w:right="1140" w:bottom="1160" w:left="1360" w:header="849" w:footer="979" w:gutter="0"/>
          <w:pgNumType w:start="1"/>
          <w:cols w:space="720" w:num="1"/>
        </w:sectPr>
      </w:pPr>
    </w:p>
    <w:p>
      <w:pPr>
        <w:spacing w:line="360" w:lineRule="auto"/>
        <w:jc w:val="center"/>
        <w:rPr>
          <w:sz w:val="44"/>
          <w:szCs w:val="44"/>
          <w:lang w:eastAsia="zh-CN"/>
        </w:rPr>
      </w:pPr>
    </w:p>
    <w:p>
      <w:pPr>
        <w:rPr>
          <w:lang w:eastAsia="zh-CN"/>
        </w:rPr>
      </w:pPr>
      <w:bookmarkStart w:id="0" w:name="_Toc7658"/>
    </w:p>
    <w:p>
      <w:pPr>
        <w:pStyle w:val="24"/>
        <w:spacing w:before="39" w:line="360" w:lineRule="auto"/>
        <w:ind w:left="3933" w:right="4153"/>
        <w:jc w:val="center"/>
        <w:rPr>
          <w:lang w:eastAsia="zh-CN"/>
        </w:rPr>
      </w:pPr>
      <w:r>
        <w:rPr>
          <w:rFonts w:hint="eastAsia"/>
          <w:lang w:eastAsia="zh-CN"/>
        </w:rPr>
        <w:t>郑重声明</w:t>
      </w:r>
      <w:bookmarkEnd w:id="0"/>
    </w:p>
    <w:p>
      <w:pPr>
        <w:spacing w:line="360" w:lineRule="auto"/>
        <w:rPr>
          <w:sz w:val="20"/>
          <w:szCs w:val="20"/>
          <w:lang w:eastAsia="zh-CN"/>
        </w:rPr>
      </w:pPr>
    </w:p>
    <w:p>
      <w:pPr>
        <w:spacing w:line="360" w:lineRule="auto"/>
        <w:rPr>
          <w:sz w:val="20"/>
          <w:szCs w:val="20"/>
          <w:lang w:eastAsia="zh-CN"/>
        </w:rPr>
      </w:pPr>
    </w:p>
    <w:p>
      <w:pPr>
        <w:spacing w:before="7" w:line="360" w:lineRule="auto"/>
        <w:rPr>
          <w:sz w:val="20"/>
          <w:szCs w:val="20"/>
          <w:lang w:eastAsia="zh-CN"/>
        </w:rPr>
      </w:pPr>
    </w:p>
    <w:p>
      <w:pPr>
        <w:pStyle w:val="7"/>
        <w:spacing w:line="360" w:lineRule="auto"/>
        <w:ind w:left="227" w:right="454" w:firstLine="522"/>
        <w:jc w:val="both"/>
        <w:rPr>
          <w:rFonts w:hint="eastAsia"/>
          <w:w w:val="95"/>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诚信报告，是依据国家有关质量法律法规、规章及相关行业质量标准、规范等进行编制。报告中关于公司质量诚信和质量管理情况是公司现状的真实反映，本公司对报告内容的客观性负责，对相关论述和结论真实性和科学性负责。</w:t>
      </w:r>
    </w:p>
    <w:p>
      <w:pPr>
        <w:spacing w:before="10" w:line="360" w:lineRule="auto"/>
        <w:rPr>
          <w:sz w:val="13"/>
          <w:szCs w:val="13"/>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pStyle w:val="7"/>
        <w:spacing w:line="360" w:lineRule="auto"/>
        <w:ind w:firstLine="4959" w:firstLineChars="1900"/>
        <w:rPr>
          <w:rFonts w:hint="eastAsia"/>
          <w:b/>
          <w:bCs w:val="0"/>
          <w:lang w:eastAsia="zh-CN"/>
        </w:rPr>
      </w:pPr>
      <w:r>
        <w:rPr>
          <w:rFonts w:hint="eastAsia"/>
          <w:b/>
          <w:bCs w:val="0"/>
          <w:lang w:eastAsia="zh-CN"/>
        </w:rPr>
        <w:t>浙江中辉裘革科技有限公司</w:t>
      </w:r>
    </w:p>
    <w:p>
      <w:pPr>
        <w:spacing w:line="360" w:lineRule="auto"/>
        <w:ind w:firstLine="5742" w:firstLineChars="2200"/>
        <w:rPr>
          <w:rFonts w:hint="eastAsia" w:ascii="宋体" w:hAnsi="宋体" w:eastAsia="宋体" w:cs="Times New Roman"/>
          <w:b/>
          <w:bCs w:val="0"/>
          <w:sz w:val="26"/>
          <w:szCs w:val="26"/>
          <w:lang w:val="en-US" w:eastAsia="zh-CN" w:bidi="ar-SA"/>
        </w:rPr>
        <w:sectPr>
          <w:footerReference r:id="rId5" w:type="default"/>
          <w:pgSz w:w="11907" w:h="16840"/>
          <w:pgMar w:top="1480" w:right="1140" w:bottom="1160" w:left="1360" w:header="849" w:footer="979" w:gutter="0"/>
          <w:pgNumType w:start="1"/>
          <w:cols w:space="720" w:num="1"/>
        </w:sectPr>
      </w:pPr>
      <w:r>
        <w:rPr>
          <w:rFonts w:hint="eastAsia" w:ascii="宋体" w:hAnsi="宋体" w:eastAsia="宋体" w:cs="Times New Roman"/>
          <w:b/>
          <w:bCs w:val="0"/>
          <w:sz w:val="26"/>
          <w:szCs w:val="26"/>
          <w:lang w:val="en-US" w:eastAsia="zh-CN" w:bidi="ar-SA"/>
        </w:rPr>
        <w:t>202</w:t>
      </w:r>
      <w:r>
        <w:rPr>
          <w:rFonts w:hint="eastAsia" w:ascii="宋体" w:hAnsi="宋体" w:cs="Times New Roman"/>
          <w:b/>
          <w:bCs w:val="0"/>
          <w:sz w:val="26"/>
          <w:szCs w:val="26"/>
          <w:lang w:val="en-US" w:eastAsia="zh-CN" w:bidi="ar-SA"/>
        </w:rPr>
        <w:t>2</w:t>
      </w:r>
      <w:r>
        <w:rPr>
          <w:rFonts w:hint="eastAsia" w:ascii="宋体" w:hAnsi="宋体" w:eastAsia="宋体" w:cs="Times New Roman"/>
          <w:b/>
          <w:bCs w:val="0"/>
          <w:sz w:val="26"/>
          <w:szCs w:val="26"/>
          <w:lang w:val="en-US" w:eastAsia="zh-CN" w:bidi="ar-SA"/>
        </w:rPr>
        <w:t>年</w:t>
      </w:r>
      <w:r>
        <w:rPr>
          <w:rFonts w:hint="eastAsia" w:ascii="宋体" w:hAnsi="宋体" w:cs="Times New Roman"/>
          <w:b/>
          <w:bCs w:val="0"/>
          <w:sz w:val="26"/>
          <w:szCs w:val="26"/>
          <w:lang w:val="en-US" w:eastAsia="zh-CN" w:bidi="ar-SA"/>
        </w:rPr>
        <w:t>3</w:t>
      </w:r>
      <w:r>
        <w:rPr>
          <w:rFonts w:hint="eastAsia" w:ascii="宋体" w:hAnsi="宋体" w:eastAsia="宋体" w:cs="Times New Roman"/>
          <w:b/>
          <w:bCs w:val="0"/>
          <w:sz w:val="26"/>
          <w:szCs w:val="26"/>
          <w:lang w:val="en-US" w:eastAsia="zh-CN" w:bidi="ar-SA"/>
        </w:rPr>
        <w:t>月20日</w:t>
      </w:r>
    </w:p>
    <w:p>
      <w:pPr>
        <w:pStyle w:val="7"/>
        <w:spacing w:before="53" w:line="360" w:lineRule="auto"/>
        <w:rPr>
          <w:rFonts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pPr>
        <w:spacing w:before="6" w:line="360" w:lineRule="auto"/>
        <w:rPr>
          <w:rFonts w:hint="eastAsia" w:ascii="宋体" w:hAnsi="宋体" w:eastAsia="宋体" w:cs="Times New Roman"/>
          <w:sz w:val="26"/>
          <w:szCs w:val="26"/>
          <w:lang w:val="en-US" w:eastAsia="zh-CN" w:bidi="ar-SA"/>
        </w:rPr>
      </w:pPr>
    </w:p>
    <w:p>
      <w:pPr>
        <w:spacing w:before="6" w:line="360" w:lineRule="auto"/>
        <w:ind w:firstLine="780" w:firstLineChars="300"/>
        <w:rPr>
          <w:rFonts w:hint="eastAsia" w:ascii="宋体" w:hAnsi="宋体" w:eastAsia="宋体" w:cs="Times New Roman"/>
          <w:sz w:val="26"/>
          <w:szCs w:val="26"/>
          <w:lang w:val="en-US" w:eastAsia="zh-CN" w:bidi="ar-SA"/>
        </w:rPr>
      </w:pPr>
      <w:r>
        <w:rPr>
          <w:rFonts w:hint="eastAsia" w:ascii="宋体" w:hAnsi="宋体" w:cs="Times New Roman"/>
          <w:sz w:val="26"/>
          <w:szCs w:val="26"/>
          <w:lang w:val="en-US" w:eastAsia="zh-CN" w:bidi="ar-SA"/>
        </w:rPr>
        <w:t>浙江中辉裘革科技有限公司</w:t>
      </w:r>
    </w:p>
    <w:p>
      <w:pPr>
        <w:pStyle w:val="7"/>
        <w:spacing w:line="360" w:lineRule="auto"/>
        <w:rPr>
          <w:rFonts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pPr>
        <w:spacing w:before="8" w:line="360" w:lineRule="auto"/>
        <w:rPr>
          <w:sz w:val="11"/>
          <w:szCs w:val="11"/>
          <w:lang w:eastAsia="zh-CN"/>
        </w:rPr>
      </w:pPr>
    </w:p>
    <w:p>
      <w:pPr>
        <w:pStyle w:val="7"/>
        <w:spacing w:line="360" w:lineRule="auto"/>
        <w:ind w:left="678"/>
        <w:rPr>
          <w:rFonts w:hint="eastAsia" w:ascii="宋体" w:hAnsi="宋体" w:eastAsia="宋体" w:cs="Times New Roman"/>
          <w:sz w:val="26"/>
          <w:szCs w:val="26"/>
          <w:lang w:val="en-US" w:eastAsia="zh-CN" w:bidi="ar-SA"/>
        </w:rPr>
      </w:pPr>
      <w:r>
        <w:rPr>
          <w:rFonts w:hint="eastAsia" w:ascii="宋体" w:hAnsi="宋体" w:eastAsia="宋体" w:cs="Times New Roman"/>
          <w:sz w:val="26"/>
          <w:szCs w:val="26"/>
          <w:lang w:val="en-US" w:eastAsia="zh-CN" w:bidi="ar-SA"/>
        </w:rPr>
        <w:t>本报告涵盖的时间范围为 20</w:t>
      </w:r>
      <w:r>
        <w:rPr>
          <w:rFonts w:hint="eastAsia" w:cs="Times New Roman"/>
          <w:sz w:val="26"/>
          <w:szCs w:val="26"/>
          <w:lang w:val="en-US" w:eastAsia="zh-CN" w:bidi="ar-SA"/>
        </w:rPr>
        <w:t>21</w:t>
      </w:r>
      <w:r>
        <w:rPr>
          <w:rFonts w:hint="eastAsia" w:ascii="宋体" w:hAnsi="宋体" w:eastAsia="宋体" w:cs="Times New Roman"/>
          <w:sz w:val="26"/>
          <w:szCs w:val="26"/>
          <w:lang w:val="en-US" w:eastAsia="zh-CN" w:bidi="ar-SA"/>
        </w:rPr>
        <w:t>年</w:t>
      </w:r>
      <w:r>
        <w:rPr>
          <w:rFonts w:hint="eastAsia" w:cs="Times New Roman"/>
          <w:sz w:val="26"/>
          <w:szCs w:val="26"/>
          <w:lang w:val="en-US" w:eastAsia="zh-CN" w:bidi="ar-SA"/>
        </w:rPr>
        <w:t>1</w:t>
      </w:r>
      <w:r>
        <w:rPr>
          <w:rFonts w:hint="eastAsia" w:ascii="宋体" w:hAnsi="宋体" w:eastAsia="宋体" w:cs="Times New Roman"/>
          <w:sz w:val="26"/>
          <w:szCs w:val="26"/>
          <w:lang w:val="en-US" w:eastAsia="zh-CN" w:bidi="ar-SA"/>
        </w:rPr>
        <w:t>月</w:t>
      </w:r>
      <w:r>
        <w:rPr>
          <w:rFonts w:hint="eastAsia" w:cs="Times New Roman"/>
          <w:sz w:val="26"/>
          <w:szCs w:val="26"/>
          <w:lang w:val="en-US" w:eastAsia="zh-CN" w:bidi="ar-SA"/>
        </w:rPr>
        <w:t>1</w:t>
      </w:r>
      <w:r>
        <w:rPr>
          <w:rFonts w:hint="eastAsia" w:ascii="宋体" w:hAnsi="宋体" w:eastAsia="宋体" w:cs="Times New Roman"/>
          <w:sz w:val="26"/>
          <w:szCs w:val="26"/>
          <w:lang w:val="en-US" w:eastAsia="zh-CN" w:bidi="ar-SA"/>
        </w:rPr>
        <w:t>日至</w:t>
      </w:r>
      <w:r>
        <w:rPr>
          <w:rFonts w:hint="eastAsia" w:cs="Times New Roman"/>
          <w:sz w:val="26"/>
          <w:szCs w:val="26"/>
          <w:lang w:val="en-US" w:eastAsia="zh-CN" w:bidi="ar-SA"/>
        </w:rPr>
        <w:t>2021年</w:t>
      </w:r>
      <w:r>
        <w:rPr>
          <w:rFonts w:hint="eastAsia" w:ascii="宋体" w:hAnsi="宋体" w:eastAsia="宋体" w:cs="Times New Roman"/>
          <w:sz w:val="26"/>
          <w:szCs w:val="26"/>
          <w:lang w:val="en-US" w:eastAsia="zh-CN" w:bidi="ar-SA"/>
        </w:rPr>
        <w:t xml:space="preserve"> </w:t>
      </w:r>
      <w:r>
        <w:rPr>
          <w:rFonts w:hint="eastAsia" w:cs="Times New Roman"/>
          <w:sz w:val="26"/>
          <w:szCs w:val="26"/>
          <w:lang w:val="en-US" w:eastAsia="zh-CN" w:bidi="ar-SA"/>
        </w:rPr>
        <w:t>12</w:t>
      </w:r>
      <w:r>
        <w:rPr>
          <w:rFonts w:hint="eastAsia" w:ascii="宋体" w:hAnsi="宋体" w:eastAsia="宋体" w:cs="Times New Roman"/>
          <w:sz w:val="26"/>
          <w:szCs w:val="26"/>
          <w:lang w:val="en-US" w:eastAsia="zh-CN" w:bidi="ar-SA"/>
        </w:rPr>
        <w:t>月</w:t>
      </w:r>
      <w:r>
        <w:rPr>
          <w:rFonts w:hint="eastAsia" w:cs="Times New Roman"/>
          <w:sz w:val="26"/>
          <w:szCs w:val="26"/>
          <w:lang w:val="en-US" w:eastAsia="zh-CN" w:bidi="ar-SA"/>
        </w:rPr>
        <w:t>31</w:t>
      </w:r>
      <w:r>
        <w:rPr>
          <w:rFonts w:hint="eastAsia" w:ascii="宋体" w:hAnsi="宋体" w:eastAsia="宋体" w:cs="Times New Roman"/>
          <w:sz w:val="26"/>
          <w:szCs w:val="26"/>
          <w:lang w:val="en-US" w:eastAsia="zh-CN" w:bidi="ar-SA"/>
        </w:rPr>
        <w:t>日，</w:t>
      </w:r>
    </w:p>
    <w:p>
      <w:pPr>
        <w:pStyle w:val="7"/>
        <w:spacing w:line="360" w:lineRule="auto"/>
        <w:ind w:left="678"/>
        <w:rPr>
          <w:lang w:eastAsia="zh-CN"/>
        </w:rPr>
      </w:pPr>
      <w:r>
        <w:rPr>
          <w:rFonts w:hint="eastAsia" w:ascii="宋体" w:hAnsi="宋体" w:eastAsia="宋体" w:cs="Times New Roman"/>
          <w:sz w:val="26"/>
          <w:szCs w:val="26"/>
          <w:lang w:val="en-US" w:eastAsia="zh-CN" w:bidi="ar-SA"/>
        </w:rPr>
        <w:t>本报告为</w:t>
      </w:r>
      <w:r>
        <w:rPr>
          <w:rFonts w:hint="eastAsia" w:cs="Times New Roman"/>
          <w:sz w:val="26"/>
          <w:szCs w:val="26"/>
          <w:lang w:val="en-US" w:eastAsia="zh-CN" w:bidi="ar-SA"/>
        </w:rPr>
        <w:t>浙江中辉裘革科技有限公司</w:t>
      </w:r>
      <w:r>
        <w:rPr>
          <w:rFonts w:hint="eastAsia" w:ascii="宋体" w:hAnsi="宋体" w:eastAsia="宋体" w:cs="Times New Roman"/>
          <w:sz w:val="26"/>
          <w:szCs w:val="26"/>
          <w:lang w:val="en-US" w:eastAsia="zh-CN" w:bidi="ar-SA"/>
        </w:rPr>
        <w:t>第1份质量诚信报告。</w:t>
      </w:r>
    </w:p>
    <w:p>
      <w:pPr>
        <w:spacing w:before="6" w:line="360" w:lineRule="auto"/>
        <w:rPr>
          <w:sz w:val="11"/>
          <w:szCs w:val="11"/>
          <w:lang w:eastAsia="zh-CN"/>
        </w:rPr>
      </w:pPr>
    </w:p>
    <w:p>
      <w:pPr>
        <w:pStyle w:val="7"/>
        <w:spacing w:line="360" w:lineRule="auto"/>
        <w:rPr>
          <w:rFonts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pPr>
        <w:spacing w:before="6" w:line="360" w:lineRule="auto"/>
        <w:rPr>
          <w:sz w:val="11"/>
          <w:szCs w:val="11"/>
          <w:lang w:eastAsia="zh-CN"/>
        </w:rPr>
      </w:pPr>
    </w:p>
    <w:p>
      <w:pPr>
        <w:pStyle w:val="7"/>
        <w:spacing w:line="360" w:lineRule="auto"/>
        <w:ind w:left="807"/>
        <w:rPr>
          <w:lang w:eastAsia="zh-CN"/>
        </w:rPr>
      </w:pPr>
      <w:r>
        <w:rPr>
          <w:rFonts w:hint="eastAsia"/>
          <w:lang w:eastAsia="zh-CN"/>
        </w:rPr>
        <w:t>一年</w:t>
      </w:r>
    </w:p>
    <w:p>
      <w:pPr>
        <w:spacing w:before="9" w:line="360" w:lineRule="auto"/>
        <w:rPr>
          <w:sz w:val="11"/>
          <w:szCs w:val="11"/>
          <w:lang w:eastAsia="zh-CN"/>
        </w:rPr>
      </w:pPr>
    </w:p>
    <w:p>
      <w:pPr>
        <w:pStyle w:val="7"/>
        <w:spacing w:line="360" w:lineRule="auto"/>
        <w:rPr>
          <w:rFonts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pPr>
        <w:spacing w:before="6" w:line="360" w:lineRule="auto"/>
        <w:rPr>
          <w:sz w:val="11"/>
          <w:szCs w:val="11"/>
          <w:lang w:eastAsia="zh-CN"/>
        </w:rPr>
      </w:pPr>
    </w:p>
    <w:p>
      <w:pPr>
        <w:pStyle w:val="7"/>
        <w:spacing w:line="360" w:lineRule="auto"/>
        <w:ind w:left="807"/>
        <w:rPr>
          <w:rFonts w:hint="eastAsia"/>
          <w:w w:val="95"/>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站www.zhonghuifur.com下载</w:t>
      </w:r>
    </w:p>
    <w:p>
      <w:pPr>
        <w:pStyle w:val="7"/>
        <w:spacing w:line="360" w:lineRule="auto"/>
        <w:ind w:left="807"/>
        <w:rPr>
          <w:rFonts w:hint="eastAsia"/>
          <w:w w:val="95"/>
          <w:lang w:eastAsia="zh-CN"/>
        </w:rPr>
        <w:sectPr>
          <w:pgSz w:w="11907" w:h="16840"/>
          <w:pgMar w:top="1540" w:right="1100" w:bottom="1160" w:left="1300" w:header="849" w:footer="979" w:gutter="0"/>
          <w:cols w:space="720" w:num="1"/>
        </w:sectPr>
      </w:pPr>
    </w:p>
    <w:sdt>
      <w:sdtPr>
        <w:rPr>
          <w:rFonts w:ascii="宋体" w:hAnsi="宋体" w:eastAsia="黑体"/>
          <w:sz w:val="21"/>
          <w:szCs w:val="32"/>
        </w:rPr>
        <w:id w:val="147472684"/>
        <w:docPartObj>
          <w:docPartGallery w:val="Table of Contents"/>
          <w:docPartUnique/>
        </w:docPartObj>
      </w:sdtPr>
      <w:sdtEndPr>
        <w:rPr>
          <w:rFonts w:hint="eastAsia" w:ascii="黑体" w:hAnsi="黑体" w:eastAsia="黑体"/>
          <w:sz w:val="32"/>
          <w:szCs w:val="32"/>
          <w:lang w:eastAsia="zh-CN"/>
        </w:rPr>
      </w:sdtEndPr>
      <w:sdtContent>
        <w:p>
          <w:pPr>
            <w:spacing w:line="312" w:lineRule="auto"/>
            <w:jc w:val="center"/>
          </w:pPr>
          <w:r>
            <w:rPr>
              <w:rFonts w:hint="eastAsia" w:ascii="黑体" w:hAnsi="黑体" w:eastAsia="黑体" w:cs="黑体"/>
              <w:sz w:val="32"/>
              <w:szCs w:val="32"/>
            </w:rPr>
            <w:t>目</w:t>
          </w:r>
          <w:r>
            <w:rPr>
              <w:rFonts w:hint="eastAsia" w:ascii="黑体" w:hAnsi="黑体" w:eastAsia="黑体" w:cs="黑体"/>
              <w:sz w:val="32"/>
              <w:szCs w:val="32"/>
              <w:lang w:eastAsia="zh-CN"/>
            </w:rPr>
            <w:t xml:space="preserve">  </w:t>
          </w:r>
          <w:r>
            <w:rPr>
              <w:rFonts w:hint="eastAsia" w:ascii="黑体" w:hAnsi="黑体" w:eastAsia="黑体" w:cs="黑体"/>
              <w:sz w:val="32"/>
              <w:szCs w:val="32"/>
            </w:rPr>
            <w:t>录</w:t>
          </w: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"_Toc16735" </w:instrText>
          </w:r>
          <w:r>
            <w:fldChar w:fldCharType="separate"/>
          </w:r>
          <w:r>
            <w:rPr>
              <w:rFonts w:hint="eastAsia" w:asciiTheme="minorEastAsia" w:hAnsiTheme="minorEastAsia" w:eastAsiaTheme="minorEastAsia" w:cstheme="minorEastAsia"/>
              <w:sz w:val="24"/>
              <w:szCs w:val="24"/>
              <w:lang w:eastAsia="zh-CN"/>
            </w:rPr>
            <w:t>第一章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z w:val="24"/>
              <w:szCs w:val="24"/>
              <w:lang w:eastAsia="zh-CN"/>
            </w:rPr>
            <w:t>质量理念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_Toc16735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"_Toc13265" </w:instrText>
          </w:r>
          <w:r>
            <w:fldChar w:fldCharType="separate"/>
          </w:r>
          <w:r>
            <w:rPr>
              <w:rFonts w:hint="eastAsia" w:asciiTheme="minorEastAsia" w:hAnsiTheme="minorEastAsia" w:eastAsiaTheme="minorEastAsia" w:cstheme="minorEastAsia"/>
              <w:sz w:val="24"/>
              <w:szCs w:val="24"/>
              <w:lang w:eastAsia="zh-CN"/>
            </w:rPr>
            <w:t>1.1  企业使命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_Toc13265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"_Toc1278" </w:instrText>
          </w:r>
          <w:r>
            <w:fldChar w:fldCharType="separate"/>
          </w:r>
          <w:r>
            <w:rPr>
              <w:rFonts w:hint="eastAsia" w:asciiTheme="minorEastAsia" w:hAnsiTheme="minorEastAsia" w:eastAsiaTheme="minorEastAsia" w:cstheme="minorEastAsia"/>
              <w:sz w:val="24"/>
              <w:szCs w:val="24"/>
              <w:lang w:eastAsia="zh-CN"/>
            </w:rPr>
            <w:t>1.2  公司愿景</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"_Toc7517" </w:instrText>
          </w:r>
          <w:r>
            <w:fldChar w:fldCharType="separate"/>
          </w:r>
          <w:r>
            <w:rPr>
              <w:rFonts w:hint="eastAsia" w:asciiTheme="minorEastAsia" w:hAnsiTheme="minorEastAsia" w:eastAsiaTheme="minorEastAsia" w:cstheme="minorEastAsia"/>
              <w:sz w:val="24"/>
              <w:szCs w:val="24"/>
              <w:lang w:eastAsia="zh-CN"/>
            </w:rPr>
            <w:t>1.3  核心价值观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_Toc7517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"_Toc24631" </w:instrText>
          </w:r>
          <w:r>
            <w:fldChar w:fldCharType="separate"/>
          </w:r>
          <w:r>
            <w:rPr>
              <w:rFonts w:hint="eastAsia" w:asciiTheme="minorEastAsia" w:hAnsiTheme="minorEastAsia" w:eastAsiaTheme="minorEastAsia" w:cstheme="minorEastAsia"/>
              <w:sz w:val="24"/>
              <w:szCs w:val="24"/>
              <w:lang w:eastAsia="zh-CN"/>
            </w:rPr>
            <w:t>1.4  公司经营理念：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_Toc24631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"_Toc9395" </w:instrText>
          </w:r>
          <w:r>
            <w:fldChar w:fldCharType="separate"/>
          </w:r>
          <w:r>
            <w:rPr>
              <w:rFonts w:hint="eastAsia" w:asciiTheme="minorEastAsia" w:hAnsiTheme="minorEastAsia" w:eastAsiaTheme="minorEastAsia" w:cstheme="minorEastAsia"/>
              <w:sz w:val="24"/>
              <w:szCs w:val="24"/>
              <w:lang w:eastAsia="zh-CN"/>
            </w:rPr>
            <w:t xml:space="preserve">1.5  </w:t>
          </w:r>
          <w:r>
            <w:rPr>
              <w:rFonts w:hint="eastAsia" w:asciiTheme="minorEastAsia" w:hAnsiTheme="minorEastAsia" w:eastAsiaTheme="minorEastAsia" w:cstheme="minorEastAsia"/>
              <w:sz w:val="24"/>
              <w:szCs w:val="24"/>
              <w:lang w:val="en-US" w:eastAsia="zh-CN"/>
            </w:rPr>
            <w:t>管理</w:t>
          </w:r>
          <w:r>
            <w:rPr>
              <w:rFonts w:hint="eastAsia" w:asciiTheme="minorEastAsia" w:hAnsiTheme="minorEastAsia" w:eastAsiaTheme="minorEastAsia" w:cstheme="minorEastAsia"/>
              <w:sz w:val="24"/>
              <w:szCs w:val="24"/>
              <w:lang w:eastAsia="zh-CN"/>
            </w:rPr>
            <w:t>方针</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_Toc9395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"_Toc23890" </w:instrText>
          </w:r>
          <w:r>
            <w:fldChar w:fldCharType="separate"/>
          </w:r>
          <w:r>
            <w:rPr>
              <w:rFonts w:hint="eastAsia" w:asciiTheme="minorEastAsia" w:hAnsiTheme="minorEastAsia" w:eastAsiaTheme="minorEastAsia" w:cstheme="minorEastAsia"/>
              <w:sz w:val="24"/>
              <w:szCs w:val="24"/>
              <w:lang w:eastAsia="zh-CN"/>
            </w:rPr>
            <w:t>1.6  品质承诺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_Toc23890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"_Toc22957" </w:instrText>
          </w:r>
          <w:r>
            <w:fldChar w:fldCharType="separate"/>
          </w:r>
          <w:r>
            <w:rPr>
              <w:rFonts w:hint="eastAsia" w:asciiTheme="minorEastAsia" w:hAnsiTheme="minorEastAsia" w:eastAsiaTheme="minorEastAsia" w:cstheme="minorEastAsia"/>
              <w:sz w:val="24"/>
              <w:szCs w:val="24"/>
              <w:lang w:eastAsia="zh-CN"/>
            </w:rPr>
            <w:t>1.7  核心价值观的说明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_Toc22957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"_Toc2218" </w:instrText>
          </w:r>
          <w:r>
            <w:fldChar w:fldCharType="separate"/>
          </w:r>
          <w:r>
            <w:rPr>
              <w:rFonts w:hint="eastAsia" w:asciiTheme="minorEastAsia" w:hAnsiTheme="minorEastAsia" w:eastAsiaTheme="minorEastAsia" w:cstheme="minorEastAsia"/>
              <w:spacing w:val="2"/>
              <w:sz w:val="24"/>
              <w:szCs w:val="24"/>
              <w:lang w:eastAsia="zh-CN"/>
            </w:rPr>
            <w:t>第二</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质量内</w:t>
          </w:r>
          <w:r>
            <w:rPr>
              <w:rFonts w:hint="eastAsia" w:asciiTheme="minorEastAsia" w:hAnsiTheme="minorEastAsia" w:eastAsiaTheme="minorEastAsia" w:cstheme="minorEastAsia"/>
              <w:sz w:val="24"/>
              <w:szCs w:val="24"/>
              <w:lang w:eastAsia="zh-CN"/>
            </w:rPr>
            <w:t>部</w:t>
          </w:r>
          <w:r>
            <w:rPr>
              <w:rFonts w:hint="eastAsia" w:asciiTheme="minorEastAsia" w:hAnsiTheme="minorEastAsia" w:eastAsiaTheme="minorEastAsia" w:cstheme="minorEastAsia"/>
              <w:spacing w:val="2"/>
              <w:sz w:val="24"/>
              <w:szCs w:val="24"/>
              <w:lang w:eastAsia="zh-CN"/>
            </w:rPr>
            <w:t>管</w:t>
          </w:r>
          <w:r>
            <w:rPr>
              <w:rFonts w:hint="eastAsia" w:asciiTheme="minorEastAsia" w:hAnsiTheme="minorEastAsia" w:eastAsiaTheme="minorEastAsia" w:cstheme="minorEastAsia"/>
              <w:sz w:val="24"/>
              <w:szCs w:val="24"/>
              <w:lang w:eastAsia="zh-CN"/>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"_Toc2935" </w:instrText>
          </w:r>
          <w:r>
            <w:fldChar w:fldCharType="separate"/>
          </w:r>
          <w:r>
            <w:rPr>
              <w:rFonts w:hint="eastAsia" w:asciiTheme="minorEastAsia" w:hAnsiTheme="minorEastAsia" w:eastAsiaTheme="minorEastAsia" w:cstheme="minorEastAsia"/>
              <w:sz w:val="24"/>
              <w:szCs w:val="24"/>
              <w:lang w:eastAsia="zh-CN"/>
            </w:rPr>
            <w:t>2.1 质量管理机构</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"_Toc8178" </w:instrText>
          </w:r>
          <w:r>
            <w:fldChar w:fldCharType="separate"/>
          </w:r>
          <w:r>
            <w:rPr>
              <w:rFonts w:hint="eastAsia" w:asciiTheme="minorEastAsia" w:hAnsiTheme="minorEastAsia" w:eastAsiaTheme="minorEastAsia" w:cstheme="minorEastAsia"/>
              <w:sz w:val="24"/>
              <w:szCs w:val="24"/>
              <w:lang w:eastAsia="zh-CN"/>
            </w:rPr>
            <w:t>2.2 质量管理体系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_Toc8178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"_Toc26447" </w:instrText>
          </w:r>
          <w:r>
            <w:fldChar w:fldCharType="separate"/>
          </w:r>
          <w:r>
            <w:rPr>
              <w:rFonts w:hint="eastAsia" w:asciiTheme="minorEastAsia" w:hAnsiTheme="minorEastAsia" w:eastAsiaTheme="minorEastAsia" w:cstheme="minorEastAsia"/>
              <w:spacing w:val="2"/>
              <w:sz w:val="24"/>
              <w:szCs w:val="24"/>
              <w:lang w:eastAsia="zh-CN"/>
            </w:rPr>
            <w:t>第三</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pacing w:val="2"/>
              <w:sz w:val="24"/>
              <w:szCs w:val="24"/>
              <w:lang w:eastAsia="zh-CN"/>
            </w:rPr>
            <w:t>质量诚信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_Toc26447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"_Toc12410" </w:instrText>
          </w:r>
          <w:r>
            <w:fldChar w:fldCharType="separate"/>
          </w:r>
          <w:r>
            <w:rPr>
              <w:rFonts w:hint="eastAsia" w:asciiTheme="minorEastAsia" w:hAnsiTheme="minorEastAsia" w:eastAsiaTheme="minorEastAsia" w:cstheme="minorEastAsia"/>
              <w:sz w:val="24"/>
              <w:szCs w:val="24"/>
              <w:lang w:eastAsia="zh-CN"/>
            </w:rPr>
            <w:t>3.1、产品设计、原材料或零部件采购、生产和售后过程中的质量诚信管理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_Toc12410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"_Toc11813" </w:instrText>
          </w:r>
          <w:r>
            <w:fldChar w:fldCharType="separate"/>
          </w:r>
          <w:r>
            <w:rPr>
              <w:rFonts w:hint="eastAsia" w:asciiTheme="minorEastAsia" w:hAnsiTheme="minorEastAsia" w:eastAsiaTheme="minorEastAsia" w:cstheme="minorEastAsia"/>
              <w:sz w:val="24"/>
              <w:szCs w:val="24"/>
              <w:lang w:eastAsia="zh-CN"/>
            </w:rPr>
            <w:t>3.2 质量文化建设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_Toc11813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"_Toc17614" </w:instrText>
          </w:r>
          <w:r>
            <w:fldChar w:fldCharType="separate"/>
          </w:r>
          <w:r>
            <w:rPr>
              <w:rFonts w:hint="eastAsia" w:asciiTheme="minorEastAsia" w:hAnsiTheme="minorEastAsia" w:eastAsiaTheme="minorEastAsia" w:cstheme="minorEastAsia"/>
              <w:sz w:val="24"/>
              <w:szCs w:val="24"/>
              <w:lang w:eastAsia="zh-CN"/>
            </w:rPr>
            <w:t>3.3营造诚信守法环境</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_Toc17614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"_Toc16457" </w:instrText>
          </w:r>
          <w:r>
            <w:fldChar w:fldCharType="separate"/>
          </w:r>
          <w:r>
            <w:rPr>
              <w:rFonts w:hint="eastAsia" w:asciiTheme="minorEastAsia" w:hAnsiTheme="minorEastAsia" w:eastAsiaTheme="minorEastAsia" w:cstheme="minorEastAsia"/>
              <w:spacing w:val="2"/>
              <w:sz w:val="24"/>
              <w:szCs w:val="24"/>
              <w:lang w:eastAsia="zh-CN"/>
            </w:rPr>
            <w:t>第四</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0"/>
              <w:sz w:val="24"/>
              <w:szCs w:val="24"/>
              <w:lang w:eastAsia="zh-CN"/>
            </w:rPr>
            <w:t xml:space="preserve"> </w:t>
          </w:r>
          <w:r>
            <w:rPr>
              <w:rFonts w:hint="eastAsia" w:asciiTheme="minorEastAsia" w:hAnsiTheme="minorEastAsia" w:eastAsiaTheme="minorEastAsia" w:cstheme="minorEastAsia"/>
              <w:spacing w:val="2"/>
              <w:sz w:val="24"/>
              <w:szCs w:val="24"/>
              <w:lang w:eastAsia="zh-CN"/>
            </w:rPr>
            <w:t>质量基础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_Toc16457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"_Toc1062" </w:instrText>
          </w:r>
          <w:r>
            <w:fldChar w:fldCharType="separate"/>
          </w:r>
          <w:r>
            <w:rPr>
              <w:rFonts w:hint="eastAsia" w:asciiTheme="minorEastAsia" w:hAnsiTheme="minorEastAsia" w:eastAsiaTheme="minorEastAsia" w:cstheme="minorEastAsia"/>
              <w:sz w:val="24"/>
              <w:szCs w:val="24"/>
              <w:lang w:eastAsia="zh-CN"/>
            </w:rPr>
            <w:t>4.1</w:t>
          </w:r>
          <w:r>
            <w:rPr>
              <w:rFonts w:hint="eastAsia" w:asciiTheme="minorEastAsia" w:hAnsiTheme="minorEastAsia" w:eastAsiaTheme="minorEastAsia" w:cstheme="minorEastAsia"/>
              <w:spacing w:val="-6"/>
              <w:sz w:val="24"/>
              <w:szCs w:val="24"/>
              <w:lang w:eastAsia="zh-CN"/>
            </w:rPr>
            <w:t xml:space="preserve"> </w:t>
          </w:r>
          <w:r>
            <w:rPr>
              <w:rFonts w:hint="eastAsia" w:asciiTheme="minorEastAsia" w:hAnsiTheme="minorEastAsia" w:eastAsiaTheme="minorEastAsia" w:cstheme="minorEastAsia"/>
              <w:sz w:val="24"/>
              <w:szCs w:val="24"/>
              <w:lang w:eastAsia="zh-CN"/>
            </w:rPr>
            <w:t>产品</w:t>
          </w:r>
          <w:r>
            <w:rPr>
              <w:rFonts w:hint="eastAsia" w:asciiTheme="minorEastAsia" w:hAnsiTheme="minorEastAsia" w:eastAsiaTheme="minorEastAsia" w:cstheme="minorEastAsia"/>
              <w:spacing w:val="2"/>
              <w:sz w:val="24"/>
              <w:szCs w:val="24"/>
              <w:lang w:eastAsia="zh-CN"/>
            </w:rPr>
            <w:t>标</w:t>
          </w:r>
          <w:r>
            <w:rPr>
              <w:rFonts w:hint="eastAsia" w:asciiTheme="minorEastAsia" w:hAnsiTheme="minorEastAsia" w:eastAsiaTheme="minorEastAsia" w:cstheme="minorEastAsia"/>
              <w:sz w:val="24"/>
              <w:szCs w:val="24"/>
              <w:lang w:eastAsia="zh-CN"/>
            </w:rPr>
            <w:t>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"_Toc30607" </w:instrText>
          </w:r>
          <w:r>
            <w:fldChar w:fldCharType="separate"/>
          </w:r>
          <w:r>
            <w:rPr>
              <w:rFonts w:hint="eastAsia" w:asciiTheme="minorEastAsia" w:hAnsiTheme="minorEastAsia" w:eastAsiaTheme="minorEastAsia" w:cstheme="minorEastAsia"/>
              <w:sz w:val="24"/>
              <w:szCs w:val="24"/>
              <w:lang w:eastAsia="zh-CN"/>
            </w:rPr>
            <w:t>4.2 计量水平</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_Toc30607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"_Toc31362" </w:instrText>
          </w:r>
          <w:r>
            <w:fldChar w:fldCharType="separate"/>
          </w:r>
          <w:r>
            <w:rPr>
              <w:rFonts w:hint="eastAsia" w:asciiTheme="minorEastAsia" w:hAnsiTheme="minorEastAsia" w:eastAsiaTheme="minorEastAsia" w:cstheme="minorEastAsia"/>
              <w:sz w:val="24"/>
              <w:szCs w:val="24"/>
              <w:lang w:eastAsia="zh-CN"/>
            </w:rPr>
            <w:t>4.3 认证认可情况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_Toc31362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"_Toc19344" </w:instrText>
          </w:r>
          <w:r>
            <w:fldChar w:fldCharType="separate"/>
          </w:r>
          <w:r>
            <w:rPr>
              <w:rFonts w:hint="eastAsia" w:asciiTheme="minorEastAsia" w:hAnsiTheme="minorEastAsia" w:eastAsiaTheme="minorEastAsia" w:cstheme="minorEastAsia"/>
              <w:sz w:val="24"/>
              <w:szCs w:val="24"/>
              <w:lang w:eastAsia="zh-CN"/>
            </w:rPr>
            <w:t>4.4 特种设备安全管理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_Toc19344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"_Toc13921" </w:instrText>
          </w:r>
          <w:r>
            <w:fldChar w:fldCharType="separate"/>
          </w:r>
          <w:r>
            <w:rPr>
              <w:rFonts w:hint="eastAsia" w:asciiTheme="minorEastAsia" w:hAnsiTheme="minorEastAsia" w:eastAsiaTheme="minorEastAsia" w:cstheme="minorEastAsia"/>
              <w:spacing w:val="2"/>
              <w:sz w:val="24"/>
              <w:szCs w:val="24"/>
              <w:lang w:eastAsia="zh-CN"/>
            </w:rPr>
            <w:t>第五</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产品质</w:t>
          </w:r>
          <w:r>
            <w:rPr>
              <w:rFonts w:hint="eastAsia" w:asciiTheme="minorEastAsia" w:hAnsiTheme="minorEastAsia" w:eastAsiaTheme="minorEastAsia" w:cstheme="minorEastAsia"/>
              <w:sz w:val="24"/>
              <w:szCs w:val="24"/>
              <w:lang w:eastAsia="zh-CN"/>
            </w:rPr>
            <w:t>量</w:t>
          </w:r>
          <w:r>
            <w:rPr>
              <w:rFonts w:hint="eastAsia" w:asciiTheme="minorEastAsia" w:hAnsiTheme="minorEastAsia" w:eastAsiaTheme="minorEastAsia" w:cstheme="minorEastAsia"/>
              <w:spacing w:val="2"/>
              <w:sz w:val="24"/>
              <w:szCs w:val="24"/>
              <w:lang w:eastAsia="zh-CN"/>
            </w:rPr>
            <w:t>责</w:t>
          </w:r>
          <w:r>
            <w:rPr>
              <w:rFonts w:hint="eastAsia" w:asciiTheme="minorEastAsia" w:hAnsiTheme="minorEastAsia" w:eastAsiaTheme="minorEastAsia" w:cstheme="minorEastAsia"/>
              <w:sz w:val="24"/>
              <w:szCs w:val="24"/>
              <w:lang w:eastAsia="zh-CN"/>
            </w:rPr>
            <w:t>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_Toc13921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"_Toc22767" </w:instrText>
          </w:r>
          <w:r>
            <w:fldChar w:fldCharType="separate"/>
          </w:r>
          <w:r>
            <w:rPr>
              <w:rFonts w:hint="eastAsia" w:asciiTheme="minorEastAsia" w:hAnsiTheme="minorEastAsia" w:eastAsiaTheme="minorEastAsia" w:cstheme="minorEastAsia"/>
              <w:sz w:val="24"/>
              <w:szCs w:val="24"/>
              <w:lang w:eastAsia="zh-CN"/>
            </w:rPr>
            <w:t>5.1 产品质量承诺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_Toc22767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"_Toc4467" </w:instrText>
          </w:r>
          <w:r>
            <w:fldChar w:fldCharType="separate"/>
          </w:r>
          <w:r>
            <w:rPr>
              <w:rFonts w:hint="eastAsia" w:asciiTheme="minorEastAsia" w:hAnsiTheme="minorEastAsia" w:eastAsiaTheme="minorEastAsia" w:cstheme="minorEastAsia"/>
              <w:sz w:val="24"/>
              <w:szCs w:val="24"/>
              <w:lang w:eastAsia="zh-CN"/>
            </w:rPr>
            <w:t>5.2 产品荣誉情况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_Toc4467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9407"/>
            </w:tabs>
            <w:spacing w:line="360" w:lineRule="auto"/>
            <w:rPr>
              <w:rFonts w:asciiTheme="minorEastAsia" w:hAnsiTheme="minorEastAsia" w:eastAsiaTheme="minorEastAsia" w:cstheme="minorEastAsia"/>
              <w:sz w:val="24"/>
              <w:szCs w:val="24"/>
            </w:rPr>
          </w:pPr>
          <w:r>
            <w:fldChar w:fldCharType="begin"/>
          </w:r>
          <w:r>
            <w:instrText xml:space="preserve"> HYPERLINK \l "_Toc27596" </w:instrText>
          </w:r>
          <w:r>
            <w:fldChar w:fldCharType="separate"/>
          </w:r>
          <w:r>
            <w:rPr>
              <w:rFonts w:hint="eastAsia" w:asciiTheme="minorEastAsia" w:hAnsiTheme="minorEastAsia" w:eastAsiaTheme="minorEastAsia" w:cstheme="minorEastAsia"/>
              <w:spacing w:val="2"/>
              <w:sz w:val="24"/>
              <w:szCs w:val="24"/>
              <w:lang w:eastAsia="zh-CN"/>
            </w:rPr>
            <w:t>第六</w:t>
          </w:r>
          <w:r>
            <w:rPr>
              <w:rFonts w:hint="eastAsia" w:asciiTheme="minorEastAsia" w:hAnsiTheme="minorEastAsia" w:eastAsiaTheme="minorEastAsia" w:cstheme="minorEastAsia"/>
              <w:sz w:val="24"/>
              <w:szCs w:val="24"/>
              <w:lang w:eastAsia="zh-CN"/>
            </w:rPr>
            <w:t>章</w:t>
          </w:r>
          <w:r>
            <w:rPr>
              <w:rFonts w:hint="eastAsia" w:asciiTheme="minorEastAsia" w:hAnsiTheme="minorEastAsia" w:eastAsiaTheme="minorEastAsia" w:cstheme="minorEastAsia"/>
              <w:spacing w:val="-26"/>
              <w:sz w:val="24"/>
              <w:szCs w:val="24"/>
              <w:lang w:eastAsia="zh-CN"/>
            </w:rPr>
            <w:t xml:space="preserve"> </w:t>
          </w:r>
          <w:r>
            <w:rPr>
              <w:rFonts w:hint="eastAsia" w:asciiTheme="minorEastAsia" w:hAnsiTheme="minorEastAsia" w:eastAsiaTheme="minorEastAsia" w:cstheme="minorEastAsia"/>
              <w:spacing w:val="2"/>
              <w:sz w:val="24"/>
              <w:szCs w:val="24"/>
              <w:lang w:eastAsia="zh-CN"/>
            </w:rPr>
            <w:t>质量风</w:t>
          </w:r>
          <w:r>
            <w:rPr>
              <w:rFonts w:hint="eastAsia" w:asciiTheme="minorEastAsia" w:hAnsiTheme="minorEastAsia" w:eastAsiaTheme="minorEastAsia" w:cstheme="minorEastAsia"/>
              <w:sz w:val="24"/>
              <w:szCs w:val="24"/>
              <w:lang w:eastAsia="zh-CN"/>
            </w:rPr>
            <w:t>险</w:t>
          </w:r>
          <w:r>
            <w:rPr>
              <w:rFonts w:hint="eastAsia" w:asciiTheme="minorEastAsia" w:hAnsiTheme="minorEastAsia" w:eastAsiaTheme="minorEastAsia" w:cstheme="minorEastAsia"/>
              <w:spacing w:val="2"/>
              <w:sz w:val="24"/>
              <w:szCs w:val="24"/>
              <w:lang w:eastAsia="zh-CN"/>
            </w:rPr>
            <w:t>管</w:t>
          </w:r>
          <w:r>
            <w:rPr>
              <w:rFonts w:hint="eastAsia" w:asciiTheme="minorEastAsia" w:hAnsiTheme="minorEastAsia" w:eastAsiaTheme="minorEastAsia" w:cstheme="minorEastAsia"/>
              <w:sz w:val="24"/>
              <w:szCs w:val="24"/>
              <w:lang w:eastAsia="zh-CN"/>
            </w:rPr>
            <w:t>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_Toc27596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"_Toc25538" </w:instrText>
          </w:r>
          <w:r>
            <w:fldChar w:fldCharType="separate"/>
          </w:r>
          <w:r>
            <w:rPr>
              <w:rFonts w:hint="eastAsia" w:asciiTheme="minorEastAsia" w:hAnsiTheme="minorEastAsia" w:eastAsiaTheme="minorEastAsia" w:cstheme="minorEastAsia"/>
              <w:sz w:val="24"/>
              <w:szCs w:val="24"/>
              <w:lang w:eastAsia="zh-CN"/>
            </w:rPr>
            <w:t>6.1 质量投诉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_Toc25538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"_Toc28364" </w:instrText>
          </w:r>
          <w:r>
            <w:fldChar w:fldCharType="separate"/>
          </w:r>
          <w:r>
            <w:rPr>
              <w:rFonts w:hint="eastAsia" w:asciiTheme="minorEastAsia" w:hAnsiTheme="minorEastAsia" w:eastAsiaTheme="minorEastAsia" w:cstheme="minorEastAsia"/>
              <w:sz w:val="24"/>
              <w:szCs w:val="24"/>
              <w:lang w:eastAsia="zh-CN"/>
            </w:rPr>
            <w:t>6.2 质量风险监测</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_Toc28364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5"/>
            <w:tabs>
              <w:tab w:val="right" w:leader="dot" w:pos="9407"/>
            </w:tabs>
            <w:spacing w:line="360" w:lineRule="auto"/>
            <w:ind w:left="440"/>
            <w:rPr>
              <w:rFonts w:asciiTheme="minorEastAsia" w:hAnsiTheme="minorEastAsia" w:eastAsiaTheme="minorEastAsia" w:cstheme="minorEastAsia"/>
              <w:sz w:val="24"/>
              <w:szCs w:val="24"/>
            </w:rPr>
          </w:pPr>
          <w:r>
            <w:fldChar w:fldCharType="begin"/>
          </w:r>
          <w:r>
            <w:instrText xml:space="preserve"> HYPERLINK \l "_Toc7451" </w:instrText>
          </w:r>
          <w:r>
            <w:fldChar w:fldCharType="separate"/>
          </w:r>
          <w:r>
            <w:rPr>
              <w:rFonts w:hint="eastAsia" w:asciiTheme="minorEastAsia" w:hAnsiTheme="minorEastAsia" w:eastAsiaTheme="minorEastAsia" w:cstheme="minorEastAsia"/>
              <w:sz w:val="24"/>
              <w:szCs w:val="24"/>
              <w:lang w:eastAsia="zh-CN"/>
            </w:rPr>
            <w:t>6.3 应急管理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_Toc7451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pos="2000"/>
              <w:tab w:val="right" w:leader="dot" w:pos="9407"/>
            </w:tabs>
            <w:spacing w:line="360" w:lineRule="auto"/>
          </w:pPr>
          <w:r>
            <w:fldChar w:fldCharType="begin"/>
          </w:r>
          <w:r>
            <w:instrText xml:space="preserve"> HYPERLINK \l "_Toc27484" </w:instrText>
          </w:r>
          <w:r>
            <w:fldChar w:fldCharType="separate"/>
          </w:r>
          <w:r>
            <w:rPr>
              <w:rFonts w:hint="eastAsia" w:asciiTheme="minorEastAsia" w:hAnsiTheme="minorEastAsia" w:eastAsiaTheme="minorEastAsia" w:cstheme="minorEastAsia"/>
              <w:sz w:val="24"/>
              <w:szCs w:val="24"/>
              <w:lang w:eastAsia="zh-CN"/>
            </w:rPr>
            <w:t>结</w:t>
          </w:r>
          <w:r>
            <w:rPr>
              <w:rFonts w:hint="eastAsia" w:asciiTheme="minorEastAsia" w:hAnsiTheme="minorEastAsia" w:eastAsiaTheme="minorEastAsia" w:cstheme="minorEastAsia"/>
              <w:sz w:val="24"/>
              <w:szCs w:val="24"/>
              <w:lang w:eastAsia="zh-CN"/>
            </w:rPr>
            <w:tab/>
          </w:r>
          <w:r>
            <w:rPr>
              <w:rFonts w:hint="eastAsia" w:asciiTheme="minorEastAsia" w:hAnsiTheme="minorEastAsia" w:eastAsiaTheme="minorEastAsia" w:cstheme="minorEastAsia"/>
              <w:sz w:val="24"/>
              <w:szCs w:val="24"/>
              <w:lang w:eastAsia="zh-CN"/>
            </w:rPr>
            <w:t>语</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_Toc27484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24"/>
            <w:tabs>
              <w:tab w:val="left" w:pos="1286"/>
            </w:tabs>
            <w:spacing w:line="360" w:lineRule="auto"/>
            <w:ind w:right="217"/>
            <w:jc w:val="both"/>
            <w:rPr>
              <w:lang w:eastAsia="zh-CN"/>
            </w:rPr>
          </w:pPr>
          <w:r>
            <w:rPr>
              <w:rFonts w:hint="eastAsia"/>
              <w:lang w:eastAsia="zh-CN"/>
            </w:rPr>
            <w:fldChar w:fldCharType="end"/>
          </w:r>
        </w:p>
      </w:sdtContent>
    </w:sdt>
    <w:p>
      <w:pPr>
        <w:pStyle w:val="3"/>
        <w:rPr>
          <w:lang w:eastAsia="zh-CN"/>
        </w:rPr>
      </w:pPr>
      <w:bookmarkStart w:id="1" w:name="_Toc16735"/>
      <w:r>
        <w:rPr>
          <w:rFonts w:hint="eastAsia"/>
          <w:lang w:eastAsia="zh-CN"/>
        </w:rPr>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1"/>
    </w:p>
    <w:p>
      <w:pPr>
        <w:pStyle w:val="5"/>
        <w:ind w:firstLine="480"/>
        <w:rPr>
          <w:szCs w:val="24"/>
          <w:lang w:eastAsia="zh-CN"/>
        </w:rPr>
      </w:pPr>
      <w:bookmarkStart w:id="2" w:name="_Toc13265"/>
      <w:r>
        <w:rPr>
          <w:rFonts w:hint="eastAsia"/>
          <w:szCs w:val="24"/>
          <w:lang w:eastAsia="zh-CN"/>
        </w:rPr>
        <w:t>1.1  企业使命</w:t>
      </w:r>
      <w:bookmarkEnd w:id="2"/>
    </w:p>
    <w:p>
      <w:pPr>
        <w:spacing w:line="360" w:lineRule="auto"/>
        <w:ind w:firstLine="964" w:firstLineChars="400"/>
        <w:rPr>
          <w:rFonts w:ascii="宋体" w:hAnsi="宋体"/>
          <w:b/>
          <w:bCs/>
          <w:sz w:val="24"/>
          <w:szCs w:val="24"/>
          <w:lang w:eastAsia="zh-CN"/>
        </w:rPr>
      </w:pPr>
      <w:r>
        <w:rPr>
          <w:rFonts w:hint="eastAsia" w:ascii="宋体" w:hAnsi="宋体"/>
          <w:b/>
          <w:bCs/>
          <w:sz w:val="24"/>
          <w:szCs w:val="24"/>
          <w:lang w:eastAsia="zh-CN"/>
        </w:rPr>
        <w:t>做全球领先的皮草服务商！</w:t>
      </w:r>
      <w:r>
        <w:rPr>
          <w:rFonts w:ascii="宋体" w:hAnsi="宋体"/>
          <w:b/>
          <w:bCs/>
          <w:sz w:val="24"/>
          <w:szCs w:val="24"/>
          <w:lang w:eastAsia="zh-CN"/>
        </w:rPr>
        <w:t xml:space="preserve"> </w:t>
      </w:r>
    </w:p>
    <w:p>
      <w:pPr>
        <w:pStyle w:val="5"/>
        <w:ind w:firstLine="480"/>
        <w:rPr>
          <w:szCs w:val="24"/>
          <w:lang w:eastAsia="zh-CN"/>
        </w:rPr>
      </w:pPr>
      <w:bookmarkStart w:id="3" w:name="_Toc1278"/>
      <w:r>
        <w:rPr>
          <w:rFonts w:hint="eastAsia"/>
          <w:szCs w:val="24"/>
          <w:lang w:eastAsia="zh-CN"/>
        </w:rPr>
        <w:t>1.2  公司愿景</w:t>
      </w:r>
      <w:bookmarkEnd w:id="3"/>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树民族品牌，创百年中辉。</w:t>
      </w:r>
    </w:p>
    <w:p>
      <w:pPr>
        <w:pStyle w:val="5"/>
        <w:ind w:firstLine="480"/>
        <w:rPr>
          <w:szCs w:val="24"/>
          <w:lang w:eastAsia="zh-CN"/>
        </w:rPr>
      </w:pPr>
      <w:bookmarkStart w:id="4" w:name="_Toc7517"/>
      <w:r>
        <w:rPr>
          <w:rFonts w:hint="eastAsia"/>
          <w:szCs w:val="24"/>
          <w:lang w:eastAsia="zh-CN"/>
        </w:rPr>
        <w:t>1.3  核心价值观</w:t>
      </w:r>
      <w:bookmarkEnd w:id="4"/>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诚信务实、以人为本、创业创新、互助共赢。</w:t>
      </w:r>
    </w:p>
    <w:p>
      <w:pPr>
        <w:pStyle w:val="5"/>
        <w:ind w:firstLine="480"/>
        <w:rPr>
          <w:szCs w:val="24"/>
          <w:highlight w:val="none"/>
          <w:lang w:eastAsia="zh-CN"/>
        </w:rPr>
      </w:pPr>
      <w:bookmarkStart w:id="5" w:name="_Toc24631"/>
      <w:r>
        <w:rPr>
          <w:rFonts w:hint="eastAsia"/>
          <w:szCs w:val="24"/>
          <w:highlight w:val="none"/>
          <w:lang w:eastAsia="zh-CN"/>
        </w:rPr>
        <w:t>1.4  公司经营理念：</w:t>
      </w:r>
      <w:bookmarkEnd w:id="5"/>
    </w:p>
    <w:p>
      <w:pPr>
        <w:spacing w:line="360" w:lineRule="auto"/>
        <w:ind w:firstLine="964" w:firstLineChars="400"/>
        <w:rPr>
          <w:rFonts w:ascii="宋体"/>
          <w:b/>
          <w:kern w:val="2"/>
          <w:sz w:val="24"/>
          <w:szCs w:val="24"/>
          <w:highlight w:val="none"/>
          <w:lang w:eastAsia="zh-CN"/>
        </w:rPr>
      </w:pPr>
      <w:r>
        <w:rPr>
          <w:rFonts w:hint="eastAsia" w:ascii="楷体_GB2312"/>
          <w:b/>
          <w:sz w:val="24"/>
          <w:highlight w:val="none"/>
        </w:rPr>
        <w:t>诚信   创新   科学  专注</w:t>
      </w:r>
      <w:r>
        <w:rPr>
          <w:rFonts w:hint="eastAsia" w:ascii="宋体"/>
          <w:b/>
          <w:kern w:val="2"/>
          <w:sz w:val="24"/>
          <w:szCs w:val="24"/>
          <w:highlight w:val="none"/>
          <w:lang w:eastAsia="zh-CN"/>
        </w:rPr>
        <w:t>。</w:t>
      </w:r>
    </w:p>
    <w:p>
      <w:pPr>
        <w:pStyle w:val="5"/>
        <w:ind w:firstLine="480"/>
        <w:rPr>
          <w:szCs w:val="24"/>
          <w:lang w:eastAsia="zh-CN"/>
        </w:rPr>
      </w:pPr>
      <w:bookmarkStart w:id="6" w:name="_Toc9395"/>
      <w:r>
        <w:rPr>
          <w:rFonts w:hint="eastAsia"/>
          <w:szCs w:val="24"/>
          <w:lang w:eastAsia="zh-CN"/>
        </w:rPr>
        <w:t xml:space="preserve">1.5  </w:t>
      </w:r>
      <w:r>
        <w:rPr>
          <w:rFonts w:hint="eastAsia"/>
          <w:szCs w:val="24"/>
          <w:lang w:val="en-US" w:eastAsia="zh-CN"/>
        </w:rPr>
        <w:t>管理</w:t>
      </w:r>
      <w:r>
        <w:rPr>
          <w:rFonts w:hint="eastAsia"/>
          <w:szCs w:val="24"/>
          <w:lang w:eastAsia="zh-CN"/>
        </w:rPr>
        <w:t>方针</w:t>
      </w:r>
      <w:bookmarkEnd w:id="6"/>
    </w:p>
    <w:p>
      <w:pPr>
        <w:pStyle w:val="50"/>
        <w:ind w:firstLine="964" w:firstLineChars="400"/>
        <w:rPr>
          <w:rFonts w:hint="eastAsia" w:ascii="宋体" w:hAnsi="宋体" w:eastAsia="宋体" w:cs="Times New Roman"/>
          <w:b/>
          <w:kern w:val="2"/>
          <w:sz w:val="24"/>
          <w:szCs w:val="24"/>
          <w:highlight w:val="none"/>
          <w:lang w:val="en-US" w:eastAsia="zh-CN" w:bidi="ar-SA"/>
        </w:rPr>
      </w:pPr>
      <w:r>
        <w:rPr>
          <w:rFonts w:hint="eastAsia" w:ascii="宋体" w:hAnsi="宋体" w:eastAsia="宋体" w:cs="Times New Roman"/>
          <w:b/>
          <w:kern w:val="2"/>
          <w:sz w:val="24"/>
          <w:szCs w:val="24"/>
          <w:highlight w:val="none"/>
          <w:lang w:val="en-US" w:eastAsia="zh-CN" w:bidi="ar-SA"/>
        </w:rPr>
        <w:t>质量方针：信誉、求实、团结、创新，不断的自我完善，以质量求生存，与客户齐发展。</w:t>
      </w:r>
    </w:p>
    <w:p>
      <w:pPr>
        <w:pStyle w:val="50"/>
        <w:ind w:firstLine="964" w:firstLineChars="400"/>
        <w:rPr>
          <w:rFonts w:hint="eastAsia" w:ascii="宋体" w:hAnsi="宋体" w:eastAsia="宋体" w:cs="Times New Roman"/>
          <w:b/>
          <w:kern w:val="2"/>
          <w:sz w:val="24"/>
          <w:szCs w:val="24"/>
          <w:highlight w:val="none"/>
          <w:lang w:val="en-US" w:eastAsia="zh-CN" w:bidi="ar-SA"/>
        </w:rPr>
      </w:pPr>
      <w:r>
        <w:rPr>
          <w:rFonts w:hint="eastAsia" w:ascii="宋体" w:hAnsi="宋体" w:eastAsia="宋体" w:cs="Times New Roman"/>
          <w:b/>
          <w:kern w:val="2"/>
          <w:sz w:val="24"/>
          <w:szCs w:val="24"/>
          <w:highlight w:val="none"/>
          <w:lang w:val="en-US" w:eastAsia="zh-CN" w:bidi="ar-SA"/>
        </w:rPr>
        <w:t>环境方针：预防污染、控制风险、遵守法规、保护环境。</w:t>
      </w:r>
    </w:p>
    <w:p>
      <w:pPr>
        <w:pStyle w:val="50"/>
        <w:ind w:firstLine="964" w:firstLineChars="400"/>
        <w:rPr>
          <w:rFonts w:hint="eastAsia" w:ascii="宋体" w:hAnsi="宋体" w:eastAsia="宋体" w:cs="Times New Roman"/>
          <w:b/>
          <w:kern w:val="2"/>
          <w:sz w:val="24"/>
          <w:szCs w:val="24"/>
          <w:highlight w:val="none"/>
          <w:lang w:val="en-US" w:eastAsia="zh-CN" w:bidi="ar-SA"/>
        </w:rPr>
      </w:pPr>
      <w:r>
        <w:rPr>
          <w:rFonts w:hint="eastAsia" w:ascii="宋体" w:hAnsi="宋体" w:eastAsia="宋体" w:cs="Times New Roman"/>
          <w:b/>
          <w:kern w:val="2"/>
          <w:sz w:val="24"/>
          <w:szCs w:val="24"/>
          <w:highlight w:val="none"/>
          <w:lang w:val="en-US" w:eastAsia="zh-CN" w:bidi="ar-SA"/>
        </w:rPr>
        <w:t>职业健康安全方针：安全生产、预防为主、持续改进，员工</w:t>
      </w:r>
      <w:r>
        <w:rPr>
          <w:rFonts w:hint="eastAsia" w:ascii="宋体" w:hAnsi="宋体" w:cs="Times New Roman"/>
          <w:b/>
          <w:kern w:val="2"/>
          <w:sz w:val="24"/>
          <w:szCs w:val="24"/>
          <w:highlight w:val="none"/>
          <w:lang w:val="en-US" w:eastAsia="zh-CN" w:bidi="ar-SA"/>
        </w:rPr>
        <w:t>满意</w:t>
      </w:r>
      <w:r>
        <w:rPr>
          <w:rFonts w:hint="eastAsia" w:ascii="宋体" w:hAnsi="宋体" w:eastAsia="宋体" w:cs="Times New Roman"/>
          <w:b/>
          <w:kern w:val="2"/>
          <w:sz w:val="24"/>
          <w:szCs w:val="24"/>
          <w:highlight w:val="none"/>
          <w:lang w:val="en-US" w:eastAsia="zh-CN" w:bidi="ar-SA"/>
        </w:rPr>
        <w:t>。</w:t>
      </w:r>
    </w:p>
    <w:p>
      <w:pPr>
        <w:pStyle w:val="50"/>
        <w:ind w:firstLine="964" w:firstLineChars="400"/>
        <w:rPr>
          <w:rFonts w:ascii="宋体"/>
          <w:b/>
          <w:kern w:val="2"/>
          <w:sz w:val="24"/>
          <w:szCs w:val="24"/>
          <w:lang w:eastAsia="zh-CN"/>
        </w:rPr>
      </w:pPr>
      <w:r>
        <w:rPr>
          <w:rFonts w:hint="eastAsia" w:ascii="宋体" w:hAnsi="宋体" w:cs="Times New Roman"/>
          <w:b/>
          <w:kern w:val="2"/>
          <w:sz w:val="24"/>
          <w:szCs w:val="24"/>
          <w:highlight w:val="none"/>
          <w:lang w:val="en-US" w:eastAsia="zh-CN" w:bidi="ar-SA"/>
        </w:rPr>
        <w:t>诚信方针：诚信为本，顾客至上。</w:t>
      </w:r>
    </w:p>
    <w:p>
      <w:pPr>
        <w:pStyle w:val="5"/>
        <w:ind w:firstLine="480"/>
        <w:rPr>
          <w:szCs w:val="24"/>
          <w:lang w:eastAsia="zh-CN"/>
        </w:rPr>
      </w:pPr>
      <w:bookmarkStart w:id="7" w:name="_Toc23890"/>
      <w:r>
        <w:rPr>
          <w:rFonts w:hint="eastAsia"/>
          <w:szCs w:val="24"/>
          <w:lang w:eastAsia="zh-CN"/>
        </w:rPr>
        <w:t xml:space="preserve">1.6 </w:t>
      </w:r>
      <w:r>
        <w:rPr>
          <w:rFonts w:hint="eastAsia"/>
          <w:szCs w:val="24"/>
          <w:lang w:val="en-US" w:eastAsia="zh-CN"/>
        </w:rPr>
        <w:t>质量</w:t>
      </w:r>
      <w:r>
        <w:rPr>
          <w:rFonts w:hint="eastAsia"/>
          <w:szCs w:val="24"/>
          <w:lang w:eastAsia="zh-CN"/>
        </w:rPr>
        <w:t>承诺</w:t>
      </w:r>
      <w:bookmarkEnd w:id="7"/>
    </w:p>
    <w:p>
      <w:pPr>
        <w:spacing w:line="360" w:lineRule="auto"/>
        <w:ind w:firstLine="482" w:firstLineChars="200"/>
        <w:rPr>
          <w:rFonts w:hint="default" w:ascii="宋体"/>
          <w:b/>
          <w:kern w:val="2"/>
          <w:sz w:val="24"/>
          <w:szCs w:val="24"/>
          <w:lang w:val="en-US" w:eastAsia="zh-CN"/>
        </w:rPr>
      </w:pPr>
      <w:r>
        <w:rPr>
          <w:rFonts w:hint="eastAsia" w:ascii="宋体"/>
          <w:b/>
          <w:kern w:val="2"/>
          <w:sz w:val="24"/>
          <w:szCs w:val="24"/>
          <w:lang w:val="en-US" w:eastAsia="zh-CN"/>
        </w:rPr>
        <w:t>公司生产的服装用毛革在不影响商品二次销售的情况下，消费者自购买或收货之日七天内，可无理由退换货。鞋类用毛革在规定的贮存、运输、使用条件下，若在 6 个月内出现产品因设计或制造导致的质量问题，生产商应负责免费更换。客户在产品使用过程中出现任何问题，公司接到客户反馈后 24 小时内进行响应，并在 48小时内提供合理范围内的解决方案。</w:t>
      </w:r>
    </w:p>
    <w:p>
      <w:pPr>
        <w:pStyle w:val="5"/>
        <w:ind w:firstLine="480"/>
        <w:rPr>
          <w:szCs w:val="24"/>
          <w:lang w:eastAsia="zh-CN"/>
        </w:rPr>
      </w:pPr>
      <w:bookmarkStart w:id="8" w:name="_Toc22957"/>
      <w:r>
        <w:rPr>
          <w:rFonts w:hint="eastAsia"/>
          <w:szCs w:val="24"/>
          <w:lang w:eastAsia="zh-CN"/>
        </w:rPr>
        <w:t>1.7  核心价值观的说明</w:t>
      </w:r>
      <w:bookmarkEnd w:id="8"/>
    </w:p>
    <w:p>
      <w:pPr>
        <w:spacing w:line="360" w:lineRule="auto"/>
        <w:ind w:firstLine="482" w:firstLineChars="200"/>
        <w:rPr>
          <w:rFonts w:hint="eastAsia" w:ascii="宋体"/>
          <w:b/>
          <w:kern w:val="2"/>
          <w:sz w:val="24"/>
          <w:szCs w:val="24"/>
          <w:lang w:eastAsia="zh-CN"/>
        </w:rPr>
      </w:pPr>
      <w:r>
        <w:rPr>
          <w:rFonts w:hint="eastAsia" w:ascii="宋体"/>
          <w:b/>
          <w:kern w:val="2"/>
          <w:sz w:val="24"/>
          <w:szCs w:val="24"/>
          <w:lang w:eastAsia="zh-CN"/>
        </w:rPr>
        <w:t>诚信务实、以人为本、创业创新、互助共赢。人人保持思想息息相通，情感紧紧相连，行为彼此协调，知识相互补充，构成永不可摧的中辉哲学，先培养人才，后发展企业，先育德，后成才。</w:t>
      </w:r>
    </w:p>
    <w:p>
      <w:pPr>
        <w:spacing w:line="360" w:lineRule="auto"/>
        <w:ind w:firstLine="480" w:firstLineChars="200"/>
        <w:rPr>
          <w:sz w:val="24"/>
          <w:lang w:eastAsia="zh-CN"/>
        </w:rPr>
      </w:pPr>
    </w:p>
    <w:p>
      <w:pPr>
        <w:pStyle w:val="3"/>
        <w:rPr>
          <w:lang w:eastAsia="zh-CN"/>
        </w:rPr>
      </w:pPr>
      <w:bookmarkStart w:id="9" w:name="_Toc2218"/>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9"/>
    </w:p>
    <w:p>
      <w:pPr>
        <w:pStyle w:val="5"/>
        <w:ind w:firstLine="480"/>
        <w:rPr>
          <w:szCs w:val="24"/>
          <w:lang w:eastAsia="zh-CN"/>
        </w:rPr>
      </w:pPr>
      <w:bookmarkStart w:id="10" w:name="_Toc2935"/>
      <w:r>
        <w:rPr>
          <w:rFonts w:hint="eastAsia"/>
          <w:szCs w:val="24"/>
          <w:lang w:eastAsia="zh-CN"/>
        </w:rPr>
        <w:t>2.1 质量管理机构</w:t>
      </w:r>
      <w:bookmarkEnd w:id="10"/>
    </w:p>
    <w:p>
      <w:pPr>
        <w:pStyle w:val="7"/>
        <w:numPr>
          <w:ilvl w:val="2"/>
          <w:numId w:val="1"/>
        </w:numPr>
        <w:tabs>
          <w:tab w:val="left" w:pos="937"/>
        </w:tabs>
        <w:spacing w:line="360" w:lineRule="auto"/>
        <w:ind w:left="0" w:firstLine="528" w:firstLineChars="200"/>
      </w:pPr>
      <w:r>
        <w:rPr>
          <w:rFonts w:hint="eastAsia"/>
          <w:spacing w:val="2"/>
        </w:rPr>
        <w:t>组</w:t>
      </w:r>
      <w:r>
        <w:rPr>
          <w:rFonts w:hint="eastAsia"/>
        </w:rPr>
        <w:t>织架</w:t>
      </w:r>
      <w:r>
        <w:rPr>
          <w:rFonts w:hint="eastAsia"/>
          <w:spacing w:val="2"/>
        </w:rPr>
        <w:t>构</w:t>
      </w:r>
      <w:r>
        <w:rPr>
          <w:rFonts w:hint="eastAsia"/>
        </w:rPr>
        <w:t>图</w:t>
      </w:r>
    </w:p>
    <w:p>
      <w:pPr>
        <w:pStyle w:val="7"/>
        <w:tabs>
          <w:tab w:val="left" w:pos="937"/>
        </w:tabs>
        <w:spacing w:line="360" w:lineRule="auto"/>
        <w:jc w:val="center"/>
        <w:rPr>
          <w:lang w:eastAsia="zh-CN"/>
        </w:rPr>
      </w:pPr>
      <w:r>
        <w:rPr>
          <w:rFonts w:ascii="宋体" w:hAnsi="宋体"/>
          <w:b/>
          <w:szCs w:val="21"/>
        </w:rPr>
        <w:drawing>
          <wp:inline distT="0" distB="0" distL="0" distR="0">
            <wp:extent cx="5887720" cy="3154680"/>
            <wp:effectExtent l="0" t="0" r="508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05376" cy="3164099"/>
                    </a:xfrm>
                    <a:prstGeom prst="rect">
                      <a:avLst/>
                    </a:prstGeom>
                    <a:noFill/>
                  </pic:spPr>
                </pic:pic>
              </a:graphicData>
            </a:graphic>
          </wp:inline>
        </w:drawing>
      </w:r>
    </w:p>
    <w:p>
      <w:pPr>
        <w:pStyle w:val="7"/>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管理者代表</w:t>
      </w:r>
    </w:p>
    <w:p>
      <w:pPr>
        <w:pStyle w:val="7"/>
        <w:spacing w:line="360" w:lineRule="auto"/>
        <w:ind w:firstLine="520"/>
        <w:rPr>
          <w:sz w:val="24"/>
          <w:szCs w:val="24"/>
          <w:lang w:eastAsia="zh-CN"/>
        </w:rPr>
      </w:pP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pPr>
        <w:pStyle w:val="7"/>
        <w:spacing w:line="440" w:lineRule="exact"/>
        <w:ind w:firstLine="520"/>
        <w:rPr>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pPr>
        <w:pStyle w:val="7"/>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按照</w:t>
      </w:r>
      <w:r>
        <w:rPr>
          <w:spacing w:val="2"/>
          <w:sz w:val="24"/>
          <w:szCs w:val="24"/>
          <w:lang w:eastAsia="zh-CN"/>
        </w:rPr>
        <w:t>ISO9001：2015</w:t>
      </w:r>
      <w:r>
        <w:rPr>
          <w:rFonts w:hint="eastAsia"/>
          <w:spacing w:val="2"/>
          <w:sz w:val="24"/>
          <w:szCs w:val="24"/>
          <w:lang w:eastAsia="zh-CN"/>
        </w:rPr>
        <w:t>标准，建设和完善公司质量管理体系，提升质量管理水平；</w:t>
      </w:r>
    </w:p>
    <w:p>
      <w:pPr>
        <w:pStyle w:val="7"/>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pPr>
        <w:pStyle w:val="7"/>
        <w:spacing w:line="360" w:lineRule="auto"/>
        <w:ind w:right="-63" w:firstLine="520"/>
        <w:rPr>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pPr>
        <w:pStyle w:val="7"/>
        <w:spacing w:line="360" w:lineRule="auto"/>
        <w:ind w:left="330" w:firstLine="441" w:firstLineChars="184"/>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pPr>
        <w:pStyle w:val="7"/>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公司就质量管理的有关事宜与外部联络和通；</w:t>
      </w:r>
    </w:p>
    <w:p>
      <w:pPr>
        <w:pStyle w:val="7"/>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pPr>
        <w:pStyle w:val="7"/>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管理部</w:t>
      </w:r>
    </w:p>
    <w:p>
      <w:pPr>
        <w:pStyle w:val="7"/>
        <w:tabs>
          <w:tab w:val="left" w:pos="3668"/>
          <w:tab w:val="left" w:pos="9350"/>
        </w:tabs>
        <w:spacing w:line="360" w:lineRule="auto"/>
        <w:ind w:right="157" w:firstLine="520"/>
        <w:rPr>
          <w:lang w:eastAsia="zh-CN"/>
        </w:rPr>
      </w:pPr>
      <w:r>
        <w:rPr>
          <w:sz w:val="24"/>
          <w:szCs w:val="24"/>
          <w:lang w:eastAsia="zh-CN"/>
        </w:rPr>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pPr>
        <w:pStyle w:val="7"/>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7"/>
        <w:numPr>
          <w:ilvl w:val="2"/>
          <w:numId w:val="1"/>
        </w:numPr>
        <w:tabs>
          <w:tab w:val="left" w:pos="937"/>
        </w:tabs>
        <w:spacing w:line="360" w:lineRule="auto"/>
        <w:ind w:left="0" w:firstLine="528" w:firstLineChars="200"/>
        <w:rPr>
          <w:spacing w:val="2"/>
          <w:lang w:eastAsia="zh-CN"/>
        </w:rPr>
      </w:pPr>
      <w:r>
        <w:rPr>
          <w:rFonts w:hint="eastAsia"/>
          <w:spacing w:val="2"/>
          <w:lang w:eastAsia="zh-CN"/>
        </w:rPr>
        <w:t>品管部</w:t>
      </w:r>
    </w:p>
    <w:p>
      <w:pPr>
        <w:pStyle w:val="7"/>
        <w:tabs>
          <w:tab w:val="left" w:pos="4187"/>
        </w:tabs>
        <w:spacing w:line="360" w:lineRule="auto"/>
        <w:ind w:right="47" w:firstLine="520"/>
        <w:rPr>
          <w:sz w:val="24"/>
          <w:szCs w:val="24"/>
          <w:lang w:eastAsia="zh-CN"/>
        </w:rPr>
      </w:pP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组织实施来料检验、过程检验、成品检验；</w:t>
      </w:r>
    </w:p>
    <w:p>
      <w:pPr>
        <w:pStyle w:val="7"/>
        <w:spacing w:line="360" w:lineRule="auto"/>
        <w:ind w:right="-63" w:firstLine="520"/>
        <w:rPr>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pPr>
        <w:pStyle w:val="7"/>
        <w:tabs>
          <w:tab w:val="left" w:pos="3668"/>
        </w:tabs>
        <w:spacing w:line="360" w:lineRule="auto"/>
        <w:ind w:right="491" w:firstLine="520"/>
        <w:rPr>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pPr>
        <w:pStyle w:val="7"/>
        <w:spacing w:line="360" w:lineRule="auto"/>
        <w:ind w:right="47" w:firstLine="520"/>
        <w:rPr>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负责协调、组织解决车间之间的工艺、质量问题；</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负责认证产品的例行检验和确认检验。</w:t>
      </w:r>
    </w:p>
    <w:p>
      <w:pPr>
        <w:pStyle w:val="7"/>
        <w:spacing w:line="360" w:lineRule="auto"/>
        <w:ind w:right="127" w:firstLine="520"/>
        <w:rPr>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pPr>
        <w:pStyle w:val="7"/>
        <w:spacing w:line="360" w:lineRule="auto"/>
        <w:ind w:left="288" w:leftChars="131" w:right="91" w:firstLine="480" w:firstLineChars="200"/>
        <w:rPr>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pPr>
        <w:pStyle w:val="7"/>
        <w:spacing w:line="360" w:lineRule="auto"/>
        <w:ind w:firstLine="520"/>
        <w:rPr>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负责对质量检验数据的汇总、统计和分析，以及所采取纠正措施实施的跟踪验证；</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负责质量事故的调查和提出处理意见；</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负责客户投诉处理与督导责任单位改进；</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负责对特殊工序、关键工序进行控制、监督和检查；</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pPr>
        <w:pStyle w:val="7"/>
        <w:spacing w:line="360" w:lineRule="auto"/>
        <w:ind w:left="810"/>
        <w:rPr>
          <w:sz w:val="24"/>
          <w:szCs w:val="24"/>
          <w:lang w:eastAsia="zh-CN"/>
        </w:rPr>
      </w:pPr>
      <w:r>
        <w:rPr>
          <w:sz w:val="24"/>
          <w:szCs w:val="24"/>
          <w:lang w:eastAsia="zh-CN"/>
        </w:rPr>
        <w:t>--</w:t>
      </w:r>
      <w:r>
        <w:rPr>
          <w:rFonts w:hint="eastAsia"/>
          <w:sz w:val="24"/>
          <w:szCs w:val="24"/>
          <w:lang w:eastAsia="zh-CN"/>
        </w:rPr>
        <w:t>负责公司质量成本的统计、汇总和分析；</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pPr>
        <w:pStyle w:val="5"/>
        <w:ind w:firstLine="480"/>
        <w:rPr>
          <w:szCs w:val="24"/>
          <w:lang w:eastAsia="zh-CN"/>
        </w:rPr>
      </w:pPr>
      <w:bookmarkStart w:id="11" w:name="_Toc8178"/>
      <w:r>
        <w:rPr>
          <w:rFonts w:hint="eastAsia"/>
          <w:szCs w:val="24"/>
          <w:lang w:eastAsia="zh-CN"/>
        </w:rPr>
        <w:t>2.2 质量管理体系</w:t>
      </w:r>
      <w:bookmarkEnd w:id="11"/>
    </w:p>
    <w:p>
      <w:pPr>
        <w:spacing w:line="360" w:lineRule="auto"/>
        <w:ind w:firstLine="600" w:firstLineChars="25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1</w:t>
      </w:r>
      <w:r>
        <w:rPr>
          <w:rFonts w:hint="eastAsia" w:asciiTheme="minorEastAsia" w:hAnsiTheme="minorEastAsia" w:eastAsiaTheme="minorEastAsia"/>
          <w:color w:val="000000"/>
          <w:sz w:val="24"/>
          <w:szCs w:val="24"/>
          <w:lang w:eastAsia="zh-CN"/>
        </w:rPr>
        <w:t>、公司按照</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标准要求建立质量管理体系，将其形成文件，加以保持和实施，并持续改进其有效性。为此应做到下述要求：</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a)</w:t>
      </w:r>
      <w:r>
        <w:rPr>
          <w:rFonts w:hint="eastAsia" w:asciiTheme="minorEastAsia" w:hAnsiTheme="minorEastAsia" w:eastAsiaTheme="minorEastAsia"/>
          <w:color w:val="000000"/>
          <w:sz w:val="24"/>
          <w:szCs w:val="24"/>
          <w:lang w:eastAsia="zh-CN"/>
        </w:rPr>
        <w:t>确定质量管理体系所需要的过程及其在整个组织中的应用，并根据这些过程对产品品质的影响大小及复杂程度进行相应的控制；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本公司确保对任何影响产品符合要求的外包过程加以识别，并实施控制。</w:t>
      </w:r>
      <w:r>
        <w:rPr>
          <w:rFonts w:hint="eastAsia" w:ascii="楷体_GB2312"/>
          <w:sz w:val="24"/>
        </w:rPr>
        <w:t>目前本公司的质量体系过程涉及的外包过程为电镀、热处理、喷塑、部分零部件的机械加工和监视、测量设备的检定，公司将按标准8.4条款以及其它相关条款的要求对外包方实施有效的质量控制，公司将通过签订协议、合同、现场监督等形式，与外包方建立良好的合作关系，并采用多种形式定期对外包方提供的产品、服务质量达成情况进行评价。</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总的质量目标项目如下所示：</w:t>
      </w:r>
    </w:p>
    <w:p>
      <w:pPr>
        <w:spacing w:line="520" w:lineRule="exact"/>
        <w:ind w:firstLine="720" w:firstLineChars="300"/>
        <w:rPr>
          <w:rFonts w:hint="eastAsia" w:ascii="楷体_GB2312"/>
          <w:color w:val="000000"/>
          <w:sz w:val="24"/>
          <w:highlight w:val="none"/>
        </w:rPr>
      </w:pPr>
      <w:r>
        <w:rPr>
          <w:rFonts w:hint="eastAsia" w:ascii="楷体_GB2312"/>
          <w:color w:val="000000"/>
          <w:sz w:val="24"/>
          <w:highlight w:val="none"/>
        </w:rPr>
        <w:t>a.裘革成品一次交验合格率≥</w:t>
      </w:r>
      <w:r>
        <w:rPr>
          <w:rFonts w:hint="eastAsia" w:ascii="楷体_GB2312"/>
          <w:color w:val="000000"/>
          <w:sz w:val="24"/>
          <w:highlight w:val="none"/>
          <w:lang w:val="en-US" w:eastAsia="zh-CN"/>
        </w:rPr>
        <w:t>95</w:t>
      </w:r>
      <w:r>
        <w:rPr>
          <w:rFonts w:hint="eastAsia" w:ascii="楷体_GB2312"/>
          <w:color w:val="000000"/>
          <w:sz w:val="24"/>
          <w:highlight w:val="none"/>
        </w:rPr>
        <w:t xml:space="preserve">%； </w:t>
      </w:r>
    </w:p>
    <w:p>
      <w:pPr>
        <w:spacing w:line="520" w:lineRule="exact"/>
        <w:ind w:firstLine="720" w:firstLineChars="300"/>
        <w:rPr>
          <w:rFonts w:hint="default" w:ascii="楷体_GB2312" w:eastAsia="宋体"/>
          <w:color w:val="000000"/>
          <w:sz w:val="24"/>
          <w:highlight w:val="none"/>
          <w:lang w:val="en-US" w:eastAsia="zh-CN"/>
        </w:rPr>
      </w:pPr>
      <w:r>
        <w:rPr>
          <w:rFonts w:hint="eastAsia" w:ascii="楷体_GB2312"/>
          <w:color w:val="000000"/>
          <w:sz w:val="24"/>
          <w:highlight w:val="none"/>
        </w:rPr>
        <w:t>b.</w:t>
      </w:r>
      <w:r>
        <w:rPr>
          <w:rFonts w:hint="eastAsia" w:ascii="楷体_GB2312"/>
          <w:color w:val="000000"/>
          <w:sz w:val="24"/>
          <w:highlight w:val="none"/>
          <w:lang w:val="en-US" w:eastAsia="zh-CN"/>
        </w:rPr>
        <w:t>顾客满意度≥90%</w:t>
      </w:r>
    </w:p>
    <w:p>
      <w:pPr>
        <w:pStyle w:val="9"/>
        <w:tabs>
          <w:tab w:val="left" w:pos="645"/>
        </w:tabs>
        <w:spacing w:line="300" w:lineRule="auto"/>
        <w:ind w:left="396" w:right="156" w:rightChars="71" w:firstLine="240" w:firstLineChars="100"/>
        <w:rPr>
          <w:rFonts w:hint="eastAsia" w:asciiTheme="minorEastAsia" w:hAnsiTheme="minorEastAsia" w:eastAsiaTheme="minorEastAsia"/>
          <w:bCs/>
          <w:sz w:val="24"/>
          <w:szCs w:val="24"/>
        </w:rPr>
      </w:pPr>
    </w:p>
    <w:p>
      <w:pPr>
        <w:pStyle w:val="9"/>
        <w:tabs>
          <w:tab w:val="left" w:pos="645"/>
        </w:tabs>
        <w:spacing w:line="300" w:lineRule="auto"/>
        <w:ind w:left="396" w:right="156" w:rightChars="71" w:firstLine="240" w:firstLineChars="100"/>
        <w:rPr>
          <w:rFonts w:cs="宋体" w:asciiTheme="minorEastAsia" w:hAnsiTheme="minorEastAsia" w:eastAsiaTheme="minorEastAsia"/>
          <w:sz w:val="24"/>
          <w:szCs w:val="24"/>
        </w:rPr>
      </w:pPr>
      <w:r>
        <w:rPr>
          <w:rFonts w:hint="eastAsia" w:asciiTheme="minorEastAsia" w:hAnsiTheme="minorEastAsia" w:eastAsiaTheme="minorEastAsia"/>
          <w:bCs/>
          <w:sz w:val="24"/>
          <w:szCs w:val="24"/>
        </w:rPr>
        <w:t>以上项目在每年年度计划时定出实际目标值。</w:t>
      </w:r>
      <w:r>
        <w:rPr>
          <w:rFonts w:asciiTheme="minorEastAsia" w:hAnsiTheme="minorEastAsia" w:eastAsiaTheme="minorEastAsia"/>
          <w:w w:val="99"/>
          <w:sz w:val="24"/>
          <w:szCs w:val="24"/>
        </w:rPr>
        <w:t xml:space="preserve"> </w:t>
      </w:r>
    </w:p>
    <w:p>
      <w:pPr>
        <w:pStyle w:val="7"/>
        <w:numPr>
          <w:ilvl w:val="0"/>
          <w:numId w:val="2"/>
        </w:numPr>
        <w:spacing w:before="41" w:line="360" w:lineRule="auto"/>
        <w:ind w:left="0" w:firstLine="292" w:firstLineChars="120"/>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公司先后通过了ISO 9001：2015质量管理体系、ISO 14001：2015环境管理体系认证、ISO45001：</w:t>
      </w:r>
      <w:r>
        <w:rPr>
          <w:rFonts w:hint="eastAsia" w:asciiTheme="minorEastAsia" w:hAnsiTheme="minorEastAsia" w:eastAsiaTheme="minorEastAsia"/>
          <w:color w:val="000000"/>
          <w:spacing w:val="2"/>
          <w:sz w:val="24"/>
          <w:szCs w:val="24"/>
          <w:lang w:val="en-US" w:eastAsia="zh-CN"/>
        </w:rPr>
        <w:t>2018</w:t>
      </w:r>
      <w:r>
        <w:rPr>
          <w:rFonts w:hint="eastAsia" w:asciiTheme="minorEastAsia" w:hAnsiTheme="minorEastAsia" w:eastAsiaTheme="minorEastAsia"/>
          <w:color w:val="000000"/>
          <w:spacing w:val="2"/>
          <w:sz w:val="24"/>
          <w:szCs w:val="24"/>
          <w:lang w:eastAsia="zh-CN"/>
        </w:rPr>
        <w:t>职业健康和安全管理体系认证，并有效导入到各岗位，提升各单位的管理水平。</w:t>
      </w:r>
    </w:p>
    <w:p>
      <w:pPr>
        <w:pStyle w:val="3"/>
        <w:rPr>
          <w:spacing w:val="2"/>
          <w:lang w:eastAsia="zh-CN"/>
        </w:rPr>
      </w:pPr>
      <w:bookmarkStart w:id="12" w:name="_Toc26447"/>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spacing w:val="2"/>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pStyle w:val="2"/>
        <w:rPr>
          <w:lang w:eastAsia="zh-CN"/>
        </w:rPr>
      </w:pPr>
    </w:p>
    <w:p>
      <w:pPr>
        <w:pStyle w:val="2"/>
        <w:rPr>
          <w:lang w:eastAsia="zh-CN"/>
        </w:rPr>
      </w:pPr>
    </w:p>
    <w:p>
      <w:pPr>
        <w:rPr>
          <w:lang w:eastAsia="zh-CN"/>
        </w:rPr>
      </w:pPr>
    </w:p>
    <w:p>
      <w:pPr>
        <w:rPr>
          <w:lang w:eastAsia="zh-CN"/>
        </w:rPr>
      </w:pPr>
    </w:p>
    <w:p>
      <w:pPr>
        <w:pStyle w:val="3"/>
        <w:rPr>
          <w:lang w:eastAsia="zh-CN"/>
        </w:rPr>
      </w:pPr>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w:t>
      </w:r>
      <w:bookmarkEnd w:id="12"/>
    </w:p>
    <w:p>
      <w:pPr>
        <w:pStyle w:val="5"/>
        <w:ind w:firstLine="480"/>
        <w:rPr>
          <w:lang w:eastAsia="zh-CN"/>
        </w:rPr>
      </w:pPr>
      <w:bookmarkStart w:id="13" w:name="_Toc12410"/>
      <w:r>
        <w:rPr>
          <w:rFonts w:hint="eastAsia"/>
          <w:lang w:eastAsia="zh-CN"/>
        </w:rPr>
        <w:t>3.1 产品设计、原材料或零部件采购、生产和售后过程中的质量诚信管理</w:t>
      </w:r>
      <w:bookmarkEnd w:id="13"/>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pPr>
        <w:widowControl/>
        <w:spacing w:line="360" w:lineRule="auto"/>
        <w:ind w:firstLine="480"/>
        <w:rPr>
          <w:rFonts w:hint="eastAsia" w:ascii="宋体" w:hAnsi="Calibri Bold" w:cs="宋体"/>
          <w:color w:val="000000"/>
          <w:kern w:val="0"/>
          <w:sz w:val="24"/>
          <w:szCs w:val="24"/>
        </w:rPr>
      </w:pPr>
      <w:r>
        <w:rPr>
          <w:rFonts w:hint="eastAsia" w:ascii="宋体" w:hAnsi="宋体"/>
          <w:sz w:val="24"/>
          <w:highlight w:val="none"/>
        </w:rPr>
        <w:t>公司应用同行中处于国际领先水准的质量管理，打造企业嘉兴市高新技术企业、</w:t>
      </w:r>
      <w:r>
        <w:rPr>
          <w:rFonts w:hint="eastAsia" w:ascii="宋体" w:hAnsi="宋体"/>
          <w:sz w:val="24"/>
          <w:highlight w:val="none"/>
          <w:lang w:eastAsia="zh-CN"/>
        </w:rPr>
        <w:t>市级研究开发中心</w:t>
      </w:r>
      <w:r>
        <w:rPr>
          <w:rFonts w:hint="eastAsia" w:ascii="宋体" w:hAnsi="宋体"/>
          <w:sz w:val="24"/>
          <w:highlight w:val="none"/>
        </w:rPr>
        <w:t>等创新平台，通过产学研合作等模式不断创新研发，引领行业发展，赶超国内外同行。近几年，公司还积极参与有关国家、行业标准的起草，2018年参与制定了《水貂服装》浙江制造团体标准；2019年参与制定了《毛革服装》、《貉子毛皮领子》二项浙江制造团体标准；2020年主导制定了《制革行业绿色工厂评价导则》行业标准和参与制定了《取水定额 第56部分：毛皮》国家标准；2021年主导制定了《鞋类用毛革》、《服装用毛革》二项浙江制造团体标准</w:t>
      </w:r>
      <w:r>
        <w:rPr>
          <w:rFonts w:hint="eastAsia" w:ascii="宋体" w:hAnsi="Calibri Bold" w:cs="宋体"/>
          <w:color w:val="000000"/>
          <w:kern w:val="0"/>
          <w:sz w:val="24"/>
          <w:szCs w:val="24"/>
          <w:highlight w:val="none"/>
        </w:rPr>
        <w:t>。</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嘉兴市高新技术研究开发中心的主要理念，公司在设计工作过程时充分考虑了新方法、新技术、新知识以及灵活性，并对过程中的时间周期、生产率以及成本控制等要求予以设计控制。</w:t>
      </w:r>
    </w:p>
    <w:p>
      <w:pPr>
        <w:spacing w:line="360" w:lineRule="auto"/>
        <w:ind w:firstLine="480" w:firstLineChars="200"/>
        <w:rPr>
          <w:rFonts w:hint="eastAsia" w:ascii="宋体" w:hAnsi="宋体" w:cs="宋体"/>
          <w:color w:val="000000"/>
          <w:kern w:val="0"/>
          <w:sz w:val="24"/>
          <w:szCs w:val="24"/>
          <w:highlight w:val="none"/>
        </w:rPr>
      </w:pPr>
      <w:r>
        <w:rPr>
          <w:rFonts w:hint="eastAsia" w:ascii="宋体" w:hAnsi="Calibri Bold" w:cs="宋体"/>
          <w:color w:val="000000"/>
          <w:kern w:val="0"/>
          <w:sz w:val="24"/>
          <w:szCs w:val="24"/>
        </w:rPr>
        <w:t>经过多年持续投入和不懈探索，获得了诸多骄人的荣誉，譬如：</w:t>
      </w:r>
      <w:r>
        <w:rPr>
          <w:rFonts w:hint="eastAsia" w:ascii="宋体" w:hAnsi="宋体" w:cs="宋体"/>
          <w:color w:val="000000"/>
          <w:kern w:val="0"/>
          <w:sz w:val="24"/>
          <w:szCs w:val="24"/>
          <w:highlight w:val="none"/>
        </w:rPr>
        <w:t>①</w:t>
      </w:r>
      <w:r>
        <w:rPr>
          <w:rFonts w:hint="eastAsia" w:ascii="宋体" w:hAnsi="Calibri Bold" w:cs="宋体"/>
          <w:color w:val="000000"/>
          <w:kern w:val="0"/>
          <w:sz w:val="24"/>
          <w:szCs w:val="24"/>
          <w:highlight w:val="none"/>
        </w:rPr>
        <w:t>、</w:t>
      </w:r>
      <w:r>
        <w:rPr>
          <w:rFonts w:hint="eastAsia" w:ascii="宋体" w:hAnsi="宋体"/>
          <w:sz w:val="24"/>
          <w:highlight w:val="none"/>
          <w:lang w:eastAsia="zh-CN"/>
        </w:rPr>
        <w:t>已拥有有效专利12项，其中发明专利10项，实用新专利2项</w:t>
      </w:r>
      <w:r>
        <w:rPr>
          <w:rFonts w:hint="eastAsia" w:ascii="宋体" w:hAnsi="Calibri Bold" w:cs="宋体"/>
          <w:color w:val="000000"/>
          <w:kern w:val="0"/>
          <w:sz w:val="24"/>
          <w:szCs w:val="24"/>
          <w:highlight w:val="none"/>
        </w:rPr>
        <w:t>；</w:t>
      </w:r>
      <w:r>
        <w:rPr>
          <w:rFonts w:hint="default" w:ascii="宋体" w:hAnsi="宋体" w:cs="宋体"/>
          <w:color w:val="000000"/>
          <w:kern w:val="0"/>
          <w:sz w:val="24"/>
          <w:szCs w:val="24"/>
          <w:highlight w:val="none"/>
        </w:rPr>
        <w:t>②</w:t>
      </w:r>
      <w:r>
        <w:rPr>
          <w:rFonts w:hint="eastAsia" w:ascii="宋体" w:hAnsi="宋体" w:cs="宋体"/>
          <w:color w:val="000000"/>
          <w:kern w:val="0"/>
          <w:sz w:val="24"/>
          <w:szCs w:val="24"/>
          <w:highlight w:val="none"/>
        </w:rPr>
        <w:t>、实施无铬鞣技术、铬液循环，节约铬鞣剂38%，铬泥减少41%；通过工艺水循环和中水回用，实现水资源循环利用率达到79%，</w:t>
      </w:r>
    </w:p>
    <w:p>
      <w:pPr>
        <w:spacing w:line="360" w:lineRule="auto"/>
        <w:rPr>
          <w:rFonts w:cs="宋体" w:asciiTheme="minorEastAsia" w:hAnsiTheme="minorEastAsia"/>
          <w:sz w:val="24"/>
          <w:szCs w:val="24"/>
          <w:lang w:eastAsia="zh-CN"/>
        </w:rPr>
      </w:pPr>
      <w:r>
        <w:rPr>
          <w:rFonts w:hint="eastAsia" w:ascii="宋体" w:hAnsi="宋体" w:cs="宋体"/>
          <w:color w:val="000000"/>
          <w:kern w:val="0"/>
          <w:sz w:val="24"/>
          <w:szCs w:val="24"/>
          <w:highlight w:val="none"/>
        </w:rPr>
        <w:t>引入新设备、新工艺，减少各类化工材料用量36%，节盐量32%</w:t>
      </w:r>
      <w:r>
        <w:rPr>
          <w:rFonts w:hint="eastAsia" w:ascii="宋体" w:hAnsi="Calibri Bold" w:cs="宋体"/>
          <w:color w:val="000000"/>
          <w:kern w:val="0"/>
          <w:sz w:val="24"/>
          <w:szCs w:val="24"/>
          <w:lang w:eastAsia="zh-CN"/>
        </w:rPr>
        <w:t>；</w:t>
      </w:r>
      <w:r>
        <w:rPr>
          <w:rFonts w:hint="eastAsia" w:ascii="宋体" w:hAnsi="宋体" w:eastAsia="宋体" w:cs="宋体"/>
          <w:color w:val="000000"/>
          <w:kern w:val="0"/>
          <w:sz w:val="24"/>
          <w:szCs w:val="24"/>
          <w:lang w:val="en-US" w:eastAsia="zh-CN"/>
        </w:rPr>
        <w:t>④</w:t>
      </w:r>
      <w:r>
        <w:rPr>
          <w:rFonts w:hint="eastAsia" w:ascii="宋体" w:hAnsi="宋体" w:cs="宋体"/>
          <w:color w:val="000000"/>
          <w:kern w:val="0"/>
          <w:sz w:val="24"/>
          <w:szCs w:val="24"/>
          <w:lang w:val="en-US" w:eastAsia="zh-CN"/>
        </w:rPr>
        <w:t>、参与国家标准</w:t>
      </w:r>
      <w:r>
        <w:rPr>
          <w:rFonts w:hint="eastAsia" w:ascii="宋体" w:hAnsi="宋体"/>
          <w:szCs w:val="21"/>
        </w:rPr>
        <w:t>G</w:t>
      </w:r>
      <w:r>
        <w:rPr>
          <w:rFonts w:ascii="宋体" w:hAnsi="宋体"/>
          <w:szCs w:val="21"/>
        </w:rPr>
        <w:t>B/T 18916.56—2021</w:t>
      </w:r>
      <w:r>
        <w:rPr>
          <w:rFonts w:hint="eastAsia" w:ascii="宋体" w:hAnsi="宋体"/>
          <w:szCs w:val="21"/>
          <w:lang w:eastAsia="zh-CN"/>
        </w:rPr>
        <w:t>《</w:t>
      </w:r>
      <w:r>
        <w:rPr>
          <w:rFonts w:ascii="宋体" w:hAnsi="宋体"/>
          <w:szCs w:val="21"/>
        </w:rPr>
        <w:t>取水定额</w:t>
      </w:r>
      <w:r>
        <w:rPr>
          <w:rFonts w:hint="eastAsia" w:ascii="宋体" w:hAnsi="宋体"/>
          <w:szCs w:val="21"/>
        </w:rPr>
        <w:t xml:space="preserve"> 第5</w:t>
      </w:r>
      <w:r>
        <w:rPr>
          <w:rFonts w:ascii="宋体" w:hAnsi="宋体"/>
          <w:szCs w:val="21"/>
        </w:rPr>
        <w:t>6部分：毛皮</w:t>
      </w:r>
      <w:r>
        <w:rPr>
          <w:rFonts w:hint="eastAsia" w:ascii="宋体" w:hAnsi="宋体"/>
          <w:szCs w:val="21"/>
          <w:lang w:eastAsia="zh-CN"/>
        </w:rPr>
        <w:t>》、</w:t>
      </w:r>
      <w:r>
        <w:rPr>
          <w:rFonts w:ascii="宋体" w:hAnsi="宋体"/>
          <w:szCs w:val="21"/>
        </w:rPr>
        <w:t>QB/T 5574-2021</w:t>
      </w:r>
      <w:r>
        <w:rPr>
          <w:rFonts w:hint="eastAsia" w:ascii="宋体" w:hAnsi="宋体"/>
          <w:szCs w:val="21"/>
          <w:lang w:eastAsia="zh-CN"/>
        </w:rPr>
        <w:t>《</w:t>
      </w:r>
      <w:r>
        <w:rPr>
          <w:rFonts w:hint="eastAsia" w:ascii="宋体" w:hAnsi="宋体"/>
          <w:szCs w:val="21"/>
        </w:rPr>
        <w:t>绿色设计产品评价技术规范 毛皮</w:t>
      </w:r>
      <w:r>
        <w:rPr>
          <w:rFonts w:hint="eastAsia" w:ascii="宋体" w:hAnsi="宋体"/>
          <w:szCs w:val="21"/>
          <w:lang w:eastAsia="zh-CN"/>
        </w:rPr>
        <w:t>》</w:t>
      </w:r>
      <w:r>
        <w:rPr>
          <w:rFonts w:hint="eastAsia" w:ascii="宋体" w:hAnsi="宋体"/>
          <w:szCs w:val="21"/>
          <w:lang w:val="en-US" w:eastAsia="zh-CN"/>
        </w:rPr>
        <w:t>和制定2项团体标准</w:t>
      </w:r>
      <w:r>
        <w:rPr>
          <w:rFonts w:hint="eastAsia" w:ascii="宋体" w:hAnsi="Calibri Bold" w:cs="宋体"/>
          <w:color w:val="000000"/>
          <w:kern w:val="0"/>
          <w:sz w:val="24"/>
          <w:szCs w:val="24"/>
        </w:rPr>
        <w:t>。</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w:t>
      </w:r>
      <w:r>
        <w:rPr>
          <w:rFonts w:hint="eastAsia" w:cs="宋体" w:asciiTheme="minorEastAsia" w:hAnsiTheme="minorEastAsia"/>
          <w:sz w:val="24"/>
          <w:szCs w:val="24"/>
          <w:highlight w:val="none"/>
          <w:lang w:eastAsia="zh-CN"/>
        </w:rPr>
        <w:t>“同等质量比价格、同等价格质量比服务、同等服务比实力”等原则，制定了《纠正和预防措施程序》、《采购控制程序》、《供方管理控制程序》、《生皮检验标准》和《染料检验标准》、《裘革出货检验标准》等相关程</w:t>
      </w:r>
      <w:r>
        <w:rPr>
          <w:rFonts w:hint="eastAsia" w:cs="宋体" w:asciiTheme="minorEastAsia" w:hAnsiTheme="minorEastAsia"/>
          <w:sz w:val="24"/>
          <w:szCs w:val="24"/>
          <w:lang w:eastAsia="zh-CN"/>
        </w:rPr>
        <w:t>序文件，对采购相关工作进行制度规范。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实施供方绩效评价体系，对过程因素实行控制和测量。对潜在供应商依据《供应商基本资料调查表》进行调查，从质量管理、设计造制、文件控制、人员培训、仓储管理、产品和制程控制、设备管理、计量器具管理、纠正及预防措、供应商管理等10个方面进行评价，并出具《供应商评估报告》，根据得分确定为ABCD等级。建立《合格供方名录》，每月对供应商从质量、价格、交期、综合配合度四方面进行考核，形成《供应商月度评价表》，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品质、价格、付方式、交期、服务等五个方面对供应商进行年度考核，形成《供应商定期考核表》，为优秀供应商评选提供依据、坚持最低总成本的策略建立服务供给果道，与部分供应商建立战略合作伙伴关系，从技术、资金、设备对供应商进行帮扶。</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3.1.3生产过程诚信管理</w:t>
      </w:r>
    </w:p>
    <w:p>
      <w:pPr>
        <w:widowControl/>
        <w:spacing w:line="360" w:lineRule="auto"/>
        <w:ind w:firstLine="480"/>
        <w:rPr>
          <w:rFonts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公司结合战略目标、技术水平、生产实际对产品的生产过程进行了设计，并制定了《产品和服务要求控制程序》、《</w:t>
      </w:r>
      <w:r>
        <w:rPr>
          <w:rFonts w:hint="eastAsia" w:asciiTheme="minorEastAsia" w:hAnsiTheme="minorEastAsia"/>
          <w:sz w:val="24"/>
          <w:szCs w:val="24"/>
          <w:lang w:eastAsia="zh-CN"/>
        </w:rPr>
        <w:t>纠正和预防措施程序</w:t>
      </w:r>
      <w:r>
        <w:rPr>
          <w:rFonts w:asciiTheme="minorEastAsia" w:hAnsiTheme="minorEastAsia"/>
          <w:sz w:val="24"/>
          <w:szCs w:val="24"/>
          <w:lang w:eastAsia="zh-CN"/>
        </w:rPr>
        <w:t>》和</w:t>
      </w:r>
      <w:r>
        <w:rPr>
          <w:rFonts w:hint="eastAsia" w:asciiTheme="minorEastAsia" w:hAnsiTheme="minorEastAsia"/>
          <w:sz w:val="24"/>
          <w:szCs w:val="24"/>
          <w:lang w:eastAsia="zh-CN"/>
        </w:rPr>
        <w:t>《</w:t>
      </w:r>
      <w:r>
        <w:rPr>
          <w:rFonts w:hint="eastAsia" w:ascii="宋体" w:hAnsi="宋体" w:cs="宋体"/>
          <w:sz w:val="24"/>
          <w:szCs w:val="24"/>
          <w:lang w:eastAsia="zh-CN"/>
        </w:rPr>
        <w:t>不合格品控制程序</w:t>
      </w:r>
      <w:r>
        <w:rPr>
          <w:rFonts w:hint="eastAsia" w:asciiTheme="minorEastAsia" w:hAnsiTheme="minorEastAsia"/>
          <w:sz w:val="24"/>
          <w:szCs w:val="24"/>
          <w:lang w:eastAsia="zh-CN"/>
        </w:rPr>
        <w:t>》</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pPr>
        <w:spacing w:beforeLines="50" w:afterLines="50" w:line="360" w:lineRule="auto"/>
        <w:ind w:firstLine="482" w:firstLineChars="201"/>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按照《产品和服务要求控制程序》、《</w:t>
      </w:r>
      <w:r>
        <w:rPr>
          <w:rFonts w:hint="eastAsia" w:asciiTheme="minorEastAsia" w:hAnsiTheme="minorEastAsia"/>
          <w:sz w:val="24"/>
          <w:szCs w:val="24"/>
          <w:lang w:eastAsia="zh-CN"/>
        </w:rPr>
        <w:t>设计开发控制程序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pPr>
        <w:spacing w:beforeLines="5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w:t>
      </w:r>
      <w:r>
        <w:rPr>
          <w:rFonts w:hint="eastAsia" w:asciiTheme="minorEastAsia" w:hAnsiTheme="minorEastAsia"/>
          <w:sz w:val="24"/>
          <w:szCs w:val="24"/>
          <w:lang w:eastAsia="zh-CN"/>
        </w:rPr>
        <w:t>《6S运作管理制度》</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pPr>
        <w:pStyle w:val="7"/>
        <w:spacing w:before="120" w:line="360" w:lineRule="auto"/>
        <w:ind w:firstLine="480" w:firstLineChars="200"/>
        <w:rPr>
          <w:rFonts w:asciiTheme="minorEastAsia" w:hAnsiTheme="minorEastAsia"/>
          <w:sz w:val="24"/>
          <w:szCs w:val="24"/>
          <w:lang w:eastAsia="zh-CN"/>
        </w:rPr>
      </w:pPr>
      <w:bookmarkStart w:id="14" w:name="_Toc11813"/>
      <w:r>
        <w:rPr>
          <w:rFonts w:hint="eastAsia" w:asciiTheme="minorEastAsia" w:hAnsiTheme="minorEastAsia"/>
          <w:sz w:val="24"/>
          <w:szCs w:val="24"/>
          <w:lang w:eastAsia="zh-CN"/>
        </w:rPr>
        <w:t>营销中心建立汇总客户信息，将客户所购买器械的型号和日期等资料记录在册（可以采用开票登记、或系统客户资料代替），以确保我们能联系上客户，使客户获得产品的最新消息及完善的售后服务。</w:t>
      </w:r>
    </w:p>
    <w:p>
      <w:pPr>
        <w:pStyle w:val="7"/>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当设备发生故障时，公司承诺提供全方位的售后服务，产品出厂后由售后服务部门跟踪。客户在产品生产过程中如有技术服务需求，可通过各种通讯方式告知制造企业，制造企业 24 小时全天候接受咨询，或根据客户的需求及时派遣技术人员至客户公司进行现场技术支持。</w:t>
      </w:r>
    </w:p>
    <w:p>
      <w:pPr>
        <w:pStyle w:val="5"/>
        <w:ind w:left="0" w:leftChars="0" w:firstLine="0" w:firstLineChars="0"/>
        <w:rPr>
          <w:lang w:eastAsia="zh-CN"/>
        </w:rPr>
      </w:pPr>
      <w:r>
        <w:rPr>
          <w:rFonts w:hint="eastAsia"/>
          <w:lang w:eastAsia="zh-CN"/>
        </w:rPr>
        <w:t>3.2 质量文化建设</w:t>
      </w:r>
      <w:bookmarkEnd w:id="14"/>
    </w:p>
    <w:p>
      <w:pPr>
        <w:pStyle w:val="7"/>
        <w:numPr>
          <w:ilvl w:val="2"/>
          <w:numId w:val="3"/>
        </w:numPr>
        <w:tabs>
          <w:tab w:val="left" w:pos="872"/>
        </w:tabs>
        <w:spacing w:line="360" w:lineRule="auto"/>
        <w:ind w:left="872"/>
      </w:pPr>
      <w:r>
        <w:rPr>
          <w:rFonts w:hint="eastAsia"/>
        </w:rPr>
        <w:t>诚</w:t>
      </w:r>
      <w:r>
        <w:rPr>
          <w:rFonts w:hint="eastAsia"/>
          <w:spacing w:val="2"/>
        </w:rPr>
        <w:t>信</w:t>
      </w:r>
      <w:r>
        <w:rPr>
          <w:rFonts w:hint="eastAsia"/>
        </w:rPr>
        <w:t>教育</w:t>
      </w:r>
    </w:p>
    <w:p>
      <w:pPr>
        <w:pStyle w:val="45"/>
        <w:spacing w:line="360" w:lineRule="auto"/>
        <w:ind w:firstLine="480"/>
        <w:rPr>
          <w:rFonts w:ascii="宋体" w:hAnsi="宋体"/>
          <w:sz w:val="24"/>
          <w:szCs w:val="24"/>
          <w:lang w:eastAsia="zh-CN"/>
        </w:rPr>
      </w:pPr>
      <w:r>
        <w:rPr>
          <w:rFonts w:hint="eastAsia" w:asciiTheme="minorEastAsia" w:hAnsiTheme="minorEastAsia"/>
          <w:sz w:val="24"/>
          <w:szCs w:val="24"/>
          <w:lang w:eastAsia="zh-CN"/>
        </w:rPr>
        <w:t>公司将员工学习和发展视为“投资”，把创建学习型组织，营造全员学习的氛围作为公司长期发展战略的重要组成部分。随着公司规模的扩大和全球化发展战略的实施，根据企业相关规定及各部门要求确定培训人员的需求情况。各部门负责人确定人员培训需求后经公司领导审批，相关部门每季度根据人员数量酌情进行培训计划的制定与实施。公司并成立了“中辉商学院”，见</w:t>
      </w:r>
      <w:r>
        <w:rPr>
          <w:rFonts w:asciiTheme="minorEastAsia" w:hAnsiTheme="minorEastAsia"/>
          <w:sz w:val="24"/>
          <w:szCs w:val="24"/>
          <w:lang w:eastAsia="zh-CN"/>
        </w:rPr>
        <w:t>图</w:t>
      </w:r>
      <w:r>
        <w:rPr>
          <w:rFonts w:hint="eastAsia" w:asciiTheme="minorEastAsia" w:hAnsiTheme="minorEastAsia"/>
          <w:sz w:val="24"/>
          <w:szCs w:val="24"/>
          <w:lang w:eastAsia="zh-CN"/>
        </w:rPr>
        <w:t xml:space="preserve">3.2-1 所示。  </w:t>
      </w:r>
    </w:p>
    <w:p>
      <w:pPr>
        <w:spacing w:line="360" w:lineRule="auto"/>
        <w:jc w:val="both"/>
        <w:rPr>
          <w:rFonts w:hint="default" w:ascii="宋体" w:hAnsi="宋体" w:eastAsia="宋体"/>
          <w:sz w:val="24"/>
          <w:szCs w:val="24"/>
          <w:lang w:val="en-US" w:eastAsia="zh-CN"/>
        </w:rPr>
      </w:pPr>
      <w:r>
        <w:rPr>
          <w:rFonts w:hint="eastAsia"/>
          <w:lang w:val="en-US" w:eastAsia="zh-CN"/>
        </w:rPr>
        <w:t xml:space="preserve"> </w:t>
      </w:r>
      <w:r>
        <w:rPr>
          <w:rFonts w:hint="eastAsia" w:ascii="宋体" w:hAnsi="宋体" w:eastAsia="宋体"/>
          <w:sz w:val="24"/>
          <w:szCs w:val="24"/>
          <w:lang w:val="en-US" w:eastAsia="zh-CN"/>
        </w:rPr>
        <w:drawing>
          <wp:inline distT="0" distB="0" distL="114300" distR="114300">
            <wp:extent cx="2826385" cy="1882140"/>
            <wp:effectExtent l="0" t="0" r="5715" b="10160"/>
            <wp:docPr id="6" name="图片 6" descr="163488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4881136(1)"/>
                    <pic:cNvPicPr>
                      <a:picLocks noChangeAspect="1"/>
                    </pic:cNvPicPr>
                  </pic:nvPicPr>
                  <pic:blipFill>
                    <a:blip r:embed="rId10"/>
                    <a:stretch>
                      <a:fillRect/>
                    </a:stretch>
                  </pic:blipFill>
                  <pic:spPr>
                    <a:xfrm>
                      <a:off x="0" y="0"/>
                      <a:ext cx="2826385" cy="1882140"/>
                    </a:xfrm>
                    <a:prstGeom prst="rect">
                      <a:avLst/>
                    </a:prstGeom>
                  </pic:spPr>
                </pic:pic>
              </a:graphicData>
            </a:graphic>
          </wp:inline>
        </w:drawing>
      </w:r>
      <w:r>
        <w:rPr>
          <w:rFonts w:hint="eastAsia" w:ascii="宋体" w:hAnsi="宋体"/>
          <w:sz w:val="24"/>
          <w:szCs w:val="24"/>
          <w:lang w:val="en-US" w:eastAsia="zh-CN"/>
        </w:rPr>
        <w:t xml:space="preserve"> </w:t>
      </w:r>
      <w:r>
        <w:rPr>
          <w:rFonts w:hint="default" w:ascii="宋体" w:hAnsi="宋体" w:eastAsia="宋体"/>
          <w:sz w:val="24"/>
          <w:szCs w:val="24"/>
          <w:lang w:val="en-US" w:eastAsia="zh-CN"/>
        </w:rPr>
        <w:drawing>
          <wp:inline distT="0" distB="0" distL="114300" distR="114300">
            <wp:extent cx="2796540" cy="1870075"/>
            <wp:effectExtent l="0" t="0" r="10160" b="9525"/>
            <wp:docPr id="10" name="图片 10" descr="163488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4881260(1)"/>
                    <pic:cNvPicPr>
                      <a:picLocks noChangeAspect="1"/>
                    </pic:cNvPicPr>
                  </pic:nvPicPr>
                  <pic:blipFill>
                    <a:blip r:embed="rId11"/>
                    <a:stretch>
                      <a:fillRect/>
                    </a:stretch>
                  </pic:blipFill>
                  <pic:spPr>
                    <a:xfrm>
                      <a:off x="0" y="0"/>
                      <a:ext cx="2796540" cy="1870075"/>
                    </a:xfrm>
                    <a:prstGeom prst="rect">
                      <a:avLst/>
                    </a:prstGeom>
                  </pic:spPr>
                </pic:pic>
              </a:graphicData>
            </a:graphic>
          </wp:inline>
        </w:drawing>
      </w:r>
    </w:p>
    <w:p>
      <w:pPr>
        <w:spacing w:line="360" w:lineRule="auto"/>
        <w:ind w:firstLine="482" w:firstLineChars="200"/>
        <w:jc w:val="center"/>
        <w:rPr>
          <w:rFonts w:ascii="宋体" w:hAnsi="宋体"/>
          <w:b/>
          <w:sz w:val="24"/>
          <w:szCs w:val="24"/>
          <w:lang w:eastAsia="zh-CN"/>
        </w:rPr>
      </w:pPr>
      <w:bookmarkStart w:id="15" w:name="_Ref363400150"/>
      <w:r>
        <w:rPr>
          <w:rFonts w:hint="eastAsia" w:ascii="宋体" w:hAnsi="宋体"/>
          <w:b/>
          <w:sz w:val="24"/>
          <w:szCs w:val="24"/>
          <w:lang w:eastAsia="zh-CN"/>
        </w:rPr>
        <w:t>图3.2-1</w:t>
      </w:r>
      <w:bookmarkEnd w:id="15"/>
      <w:r>
        <w:rPr>
          <w:rFonts w:hint="eastAsia"/>
          <w:b/>
          <w:lang w:eastAsia="zh-CN"/>
        </w:rPr>
        <w:t>各类培训活动</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7"/>
        <w:numPr>
          <w:ilvl w:val="2"/>
          <w:numId w:val="3"/>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pPr>
        <w:pStyle w:val="7"/>
        <w:spacing w:line="360" w:lineRule="auto"/>
        <w:ind w:left="0" w:firstLine="266" w:firstLineChars="111"/>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指定公司官方网站www.zhonghuifur.com为公司信息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pPr>
        <w:pStyle w:val="7"/>
        <w:numPr>
          <w:ilvl w:val="2"/>
          <w:numId w:val="3"/>
        </w:numPr>
        <w:tabs>
          <w:tab w:val="left" w:pos="993"/>
        </w:tabs>
        <w:spacing w:before="41" w:line="360" w:lineRule="auto"/>
        <w:ind w:left="872" w:hanging="446"/>
        <w:rPr>
          <w:spacing w:val="2"/>
          <w:sz w:val="24"/>
          <w:szCs w:val="24"/>
          <w:lang w:eastAsia="zh-CN"/>
        </w:rPr>
      </w:pPr>
      <w:r>
        <w:rPr>
          <w:sz w:val="24"/>
          <w:szCs w:val="24"/>
          <w:lang w:eastAsia="zh-CN"/>
        </w:rPr>
        <w:t xml:space="preserve"> </w:t>
      </w:r>
      <w:r>
        <w:rPr>
          <w:rFonts w:hint="eastAsia"/>
          <w:sz w:val="24"/>
          <w:szCs w:val="24"/>
        </w:rPr>
        <w:t>企业文化</w:t>
      </w:r>
    </w:p>
    <w:p>
      <w:pPr>
        <w:autoSpaceDE w:val="0"/>
        <w:autoSpaceDN w:val="0"/>
        <w:spacing w:line="360" w:lineRule="auto"/>
        <w:ind w:firstLine="488" w:firstLineChars="200"/>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hint="eastAsia" w:ascii="宋体" w:hAnsi="宋体"/>
          <w:spacing w:val="2"/>
          <w:sz w:val="24"/>
          <w:szCs w:val="24"/>
          <w:lang w:eastAsia="zh-CN"/>
        </w:rPr>
        <w:t>并围绕“</w:t>
      </w:r>
      <w:r>
        <w:rPr>
          <w:rFonts w:hint="eastAsia" w:ascii="宋体"/>
          <w:b/>
          <w:kern w:val="2"/>
          <w:sz w:val="24"/>
          <w:szCs w:val="24"/>
          <w:lang w:eastAsia="zh-CN"/>
        </w:rPr>
        <w:t>诚信务实、以人为本、创业创新、互助共赢</w:t>
      </w:r>
      <w:r>
        <w:rPr>
          <w:rFonts w:hint="eastAsia" w:ascii="宋体" w:hAnsi="宋体"/>
          <w:spacing w:val="2"/>
          <w:sz w:val="24"/>
          <w:szCs w:val="24"/>
          <w:lang w:eastAsia="zh-CN"/>
        </w:rPr>
        <w:t>”的核心价值观，建设富有特色，开放创新，公平正直的企业文化。”</w:t>
      </w:r>
    </w:p>
    <w:p>
      <w:pPr>
        <w:pStyle w:val="41"/>
        <w:spacing w:before="120" w:line="360" w:lineRule="auto"/>
        <w:rPr>
          <w:rFonts w:hint="eastAsia"/>
        </w:rPr>
      </w:pPr>
      <w:bookmarkStart w:id="16"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16"/>
      <w:r>
        <w:rPr>
          <w:rFonts w:hint="eastAsia"/>
        </w:rPr>
        <w:t xml:space="preserve"> 企业文化的传播和双向沟通</w:t>
      </w:r>
    </w:p>
    <w:tbl>
      <w:tblPr>
        <w:tblStyle w:val="17"/>
        <w:tblW w:w="91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720"/>
        <w:gridCol w:w="5815"/>
        <w:gridCol w:w="18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40" w:type="dxa"/>
            <w:gridSpan w:val="2"/>
            <w:tcBorders>
              <w:top w:val="single" w:color="auto" w:sz="12" w:space="0"/>
            </w:tcBorders>
            <w:shd w:val="clear" w:color="auto" w:fill="0070C0"/>
            <w:vAlign w:val="center"/>
          </w:tcPr>
          <w:p>
            <w:pPr>
              <w:widowControl/>
              <w:adjustRightInd w:val="0"/>
              <w:snapToGrid w:val="0"/>
              <w:jc w:val="center"/>
              <w:rPr>
                <w:rFonts w:ascii="宋体" w:cs="宋体"/>
                <w:b/>
                <w:kern w:val="0"/>
                <w:szCs w:val="21"/>
              </w:rPr>
            </w:pPr>
            <w:r>
              <w:rPr>
                <w:rFonts w:hint="eastAsia" w:ascii="宋体" w:hAnsi="宋体" w:cs="宋体"/>
                <w:b/>
                <w:kern w:val="0"/>
                <w:szCs w:val="21"/>
              </w:rPr>
              <w:t>方式</w:t>
            </w:r>
          </w:p>
        </w:tc>
        <w:tc>
          <w:tcPr>
            <w:tcW w:w="5815" w:type="dxa"/>
            <w:tcBorders>
              <w:top w:val="single" w:color="auto" w:sz="12" w:space="0"/>
            </w:tcBorders>
            <w:shd w:val="clear" w:color="auto" w:fill="0070C0"/>
            <w:vAlign w:val="center"/>
          </w:tcPr>
          <w:p>
            <w:pPr>
              <w:widowControl/>
              <w:adjustRightInd w:val="0"/>
              <w:snapToGrid w:val="0"/>
              <w:jc w:val="center"/>
              <w:rPr>
                <w:rFonts w:ascii="宋体" w:cs="宋体"/>
                <w:b/>
                <w:kern w:val="0"/>
                <w:szCs w:val="21"/>
              </w:rPr>
            </w:pPr>
            <w:r>
              <w:rPr>
                <w:rFonts w:hint="eastAsia" w:ascii="宋体" w:hAnsi="宋体" w:cs="宋体"/>
                <w:b/>
                <w:kern w:val="0"/>
                <w:szCs w:val="21"/>
              </w:rPr>
              <w:t>传播途径</w:t>
            </w:r>
          </w:p>
        </w:tc>
        <w:tc>
          <w:tcPr>
            <w:tcW w:w="1868" w:type="dxa"/>
            <w:tcBorders>
              <w:top w:val="single" w:color="auto" w:sz="12" w:space="0"/>
            </w:tcBorders>
            <w:shd w:val="clear" w:color="auto" w:fill="0070C0"/>
            <w:vAlign w:val="center"/>
          </w:tcPr>
          <w:p>
            <w:pPr>
              <w:widowControl/>
              <w:adjustRightInd w:val="0"/>
              <w:snapToGrid w:val="0"/>
              <w:jc w:val="center"/>
              <w:rPr>
                <w:rFonts w:ascii="宋体" w:cs="宋体"/>
                <w:b/>
                <w:kern w:val="0"/>
                <w:szCs w:val="21"/>
              </w:rPr>
            </w:pPr>
            <w:r>
              <w:rPr>
                <w:rFonts w:hint="eastAsia" w:ascii="宋体" w:hAnsi="宋体" w:cs="宋体"/>
                <w:b/>
                <w:kern w:val="0"/>
                <w:szCs w:val="21"/>
              </w:rPr>
              <w:t>传播目的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jc w:val="center"/>
        </w:trPr>
        <w:tc>
          <w:tcPr>
            <w:tcW w:w="720" w:type="dxa"/>
            <w:vMerge w:val="restart"/>
            <w:vAlign w:val="center"/>
          </w:tcPr>
          <w:p>
            <w:pPr>
              <w:widowControl/>
              <w:adjustRightInd w:val="0"/>
              <w:snapToGrid w:val="0"/>
              <w:jc w:val="center"/>
              <w:rPr>
                <w:rFonts w:ascii="宋体" w:cs="宋体"/>
                <w:kern w:val="0"/>
                <w:szCs w:val="21"/>
              </w:rPr>
            </w:pPr>
            <w:r>
              <w:rPr>
                <w:rFonts w:hint="eastAsia" w:ascii="宋体" w:hAnsi="宋体" w:cs="宋体"/>
                <w:kern w:val="0"/>
                <w:szCs w:val="21"/>
              </w:rPr>
              <w:t>双向沟通</w:t>
            </w:r>
          </w:p>
        </w:tc>
        <w:tc>
          <w:tcPr>
            <w:tcW w:w="720" w:type="dxa"/>
            <w:vMerge w:val="restart"/>
            <w:vAlign w:val="center"/>
          </w:tcPr>
          <w:p>
            <w:pPr>
              <w:widowControl/>
              <w:adjustRightInd w:val="0"/>
              <w:snapToGrid w:val="0"/>
              <w:jc w:val="center"/>
              <w:rPr>
                <w:rFonts w:ascii="宋体" w:cs="宋体"/>
                <w:kern w:val="0"/>
                <w:szCs w:val="21"/>
              </w:rPr>
            </w:pPr>
            <w:r>
              <w:rPr>
                <w:rFonts w:hint="eastAsia" w:ascii="宋体" w:hAnsi="宋体" w:cs="宋体"/>
                <w:kern w:val="0"/>
                <w:szCs w:val="21"/>
              </w:rPr>
              <w:t>内部沟通</w:t>
            </w:r>
          </w:p>
        </w:tc>
        <w:tc>
          <w:tcPr>
            <w:tcW w:w="5815" w:type="dxa"/>
            <w:shd w:val="clear" w:color="auto" w:fill="auto"/>
            <w:vAlign w:val="center"/>
          </w:tcPr>
          <w:p>
            <w:pPr>
              <w:pStyle w:val="49"/>
              <w:numPr>
                <w:ilvl w:val="0"/>
                <w:numId w:val="4"/>
              </w:numPr>
              <w:spacing w:line="240" w:lineRule="auto"/>
              <w:rPr>
                <w:rFonts w:hAnsi="宋体"/>
                <w:sz w:val="21"/>
                <w:szCs w:val="21"/>
              </w:rPr>
            </w:pPr>
            <w:r>
              <w:rPr>
                <w:rFonts w:hint="eastAsia" w:hAnsi="宋体"/>
                <w:sz w:val="21"/>
                <w:szCs w:val="21"/>
              </w:rPr>
              <w:t>运用员工手册、《中辉报》、《中辉企业形象片》、唱响</w:t>
            </w:r>
            <w:r>
              <w:rPr>
                <w:rFonts w:hAnsi="宋体"/>
                <w:sz w:val="21"/>
                <w:szCs w:val="21"/>
              </w:rPr>
              <w:t>《高飞》</w:t>
            </w:r>
            <w:r>
              <w:rPr>
                <w:rFonts w:hint="eastAsia" w:hAnsi="宋体"/>
                <w:sz w:val="21"/>
                <w:szCs w:val="21"/>
              </w:rPr>
              <w:t xml:space="preserve"> 、厂区宣传栏等阵地时刻</w:t>
            </w:r>
            <w:r>
              <w:rPr>
                <w:rFonts w:hAnsi="宋体"/>
                <w:sz w:val="21"/>
                <w:szCs w:val="21"/>
              </w:rPr>
              <w:t>宣贯、</w:t>
            </w:r>
            <w:r>
              <w:rPr>
                <w:rFonts w:hint="eastAsia" w:hAnsi="宋体"/>
                <w:sz w:val="21"/>
                <w:szCs w:val="21"/>
              </w:rPr>
              <w:t>介绍公司的企业文化；</w:t>
            </w:r>
          </w:p>
          <w:p>
            <w:pPr>
              <w:pStyle w:val="49"/>
              <w:numPr>
                <w:ilvl w:val="0"/>
                <w:numId w:val="4"/>
              </w:numPr>
              <w:spacing w:line="240" w:lineRule="auto"/>
              <w:rPr>
                <w:rFonts w:hAnsi="宋体"/>
                <w:sz w:val="21"/>
                <w:szCs w:val="21"/>
              </w:rPr>
            </w:pPr>
            <w:r>
              <w:rPr>
                <w:rFonts w:hint="eastAsia" w:hAnsi="宋体"/>
                <w:sz w:val="21"/>
                <w:szCs w:val="21"/>
              </w:rPr>
              <w:t>每年对新入职员工、销售团队、门店、管理人员等进行企业文化解读；</w:t>
            </w:r>
          </w:p>
          <w:p>
            <w:pPr>
              <w:pStyle w:val="49"/>
              <w:numPr>
                <w:ilvl w:val="0"/>
                <w:numId w:val="4"/>
              </w:numPr>
              <w:spacing w:line="240" w:lineRule="auto"/>
              <w:rPr>
                <w:rFonts w:hAnsi="宋体"/>
                <w:sz w:val="21"/>
                <w:szCs w:val="21"/>
              </w:rPr>
            </w:pPr>
            <w:r>
              <w:rPr>
                <w:rFonts w:hint="eastAsia" w:hAnsi="宋体"/>
                <w:sz w:val="21"/>
                <w:szCs w:val="21"/>
              </w:rPr>
              <w:t>将企业文化作为新员工入职培训，强化员工的理解等；</w:t>
            </w:r>
          </w:p>
          <w:p>
            <w:pPr>
              <w:pStyle w:val="49"/>
              <w:numPr>
                <w:ilvl w:val="0"/>
                <w:numId w:val="4"/>
              </w:numPr>
              <w:spacing w:line="240" w:lineRule="auto"/>
              <w:rPr>
                <w:rFonts w:hAnsi="宋体"/>
                <w:sz w:val="21"/>
                <w:szCs w:val="21"/>
              </w:rPr>
            </w:pPr>
            <w:r>
              <w:rPr>
                <w:rFonts w:hint="eastAsia" w:hAnsi="宋体"/>
                <w:sz w:val="21"/>
                <w:szCs w:val="21"/>
              </w:rPr>
              <w:t>网站：</w:t>
            </w:r>
            <w:r>
              <w:fldChar w:fldCharType="begin"/>
            </w:r>
            <w:r>
              <w:instrText xml:space="preserve"> HYPERLINK "http://www.zhonghuifur.com" </w:instrText>
            </w:r>
            <w:r>
              <w:fldChar w:fldCharType="separate"/>
            </w:r>
            <w:r>
              <w:rPr>
                <w:rFonts w:hAnsi="宋体"/>
                <w:b/>
                <w:bCs/>
                <w:sz w:val="21"/>
                <w:szCs w:val="21"/>
              </w:rPr>
              <w:t>www.zhonghuifur.com</w:t>
            </w:r>
            <w:r>
              <w:rPr>
                <w:rFonts w:hAnsi="宋体"/>
                <w:b/>
                <w:bCs/>
                <w:sz w:val="21"/>
                <w:szCs w:val="21"/>
              </w:rPr>
              <w:fldChar w:fldCharType="end"/>
            </w:r>
            <w:r>
              <w:rPr>
                <w:rFonts w:hint="eastAsia" w:hAnsi="宋体"/>
                <w:sz w:val="21"/>
                <w:szCs w:val="21"/>
              </w:rPr>
              <w:t>宣传；</w:t>
            </w:r>
          </w:p>
          <w:p>
            <w:pPr>
              <w:pStyle w:val="49"/>
              <w:numPr>
                <w:ilvl w:val="0"/>
                <w:numId w:val="4"/>
              </w:numPr>
              <w:spacing w:line="240" w:lineRule="auto"/>
              <w:rPr>
                <w:rFonts w:hAnsi="宋体"/>
                <w:sz w:val="21"/>
                <w:szCs w:val="21"/>
              </w:rPr>
            </w:pPr>
            <w:r>
              <w:rPr>
                <w:rFonts w:hint="eastAsia" w:hAnsi="宋体"/>
                <w:sz w:val="21"/>
                <w:szCs w:val="21"/>
              </w:rPr>
              <w:t>组织</w:t>
            </w:r>
            <w:r>
              <w:rPr>
                <w:rFonts w:hAnsi="宋体"/>
                <w:sz w:val="21"/>
                <w:szCs w:val="21"/>
              </w:rPr>
              <w:t>开展旅游</w:t>
            </w:r>
            <w:r>
              <w:rPr>
                <w:rFonts w:hint="eastAsia" w:hAnsi="宋体"/>
                <w:sz w:val="21"/>
                <w:szCs w:val="21"/>
              </w:rPr>
              <w:t>、捐款捐物</w:t>
            </w:r>
            <w:r>
              <w:rPr>
                <w:rFonts w:hAnsi="宋体"/>
                <w:sz w:val="21"/>
                <w:szCs w:val="21"/>
              </w:rPr>
              <w:t>献爱心等</w:t>
            </w:r>
            <w:r>
              <w:rPr>
                <w:rFonts w:hint="eastAsia" w:hAnsi="宋体"/>
                <w:sz w:val="21"/>
                <w:szCs w:val="21"/>
              </w:rPr>
              <w:t>多种形式的文化活动。</w:t>
            </w:r>
          </w:p>
        </w:tc>
        <w:tc>
          <w:tcPr>
            <w:tcW w:w="1868" w:type="dxa"/>
            <w:vMerge w:val="restart"/>
            <w:vAlign w:val="center"/>
          </w:tcPr>
          <w:p>
            <w:pPr>
              <w:widowControl/>
              <w:adjustRightInd w:val="0"/>
              <w:snapToGrid w:val="0"/>
              <w:rPr>
                <w:rFonts w:ascii="宋体" w:cs="宋体"/>
                <w:kern w:val="0"/>
                <w:szCs w:val="21"/>
              </w:rPr>
            </w:pPr>
            <w:r>
              <w:rPr>
                <w:rFonts w:hint="eastAsia" w:ascii="宋体" w:hAnsi="宋体" w:cs="宋体"/>
                <w:kern w:val="0"/>
                <w:szCs w:val="21"/>
              </w:rPr>
              <w:t>对企业文化进行诠释、系统解读和宣贯，提升员工对企业文化的认知、认同和践行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720" w:type="dxa"/>
            <w:vMerge w:val="continue"/>
            <w:vAlign w:val="center"/>
          </w:tcPr>
          <w:p>
            <w:pPr>
              <w:widowControl/>
              <w:adjustRightInd w:val="0"/>
              <w:snapToGrid w:val="0"/>
              <w:jc w:val="center"/>
              <w:rPr>
                <w:rFonts w:ascii="宋体" w:cs="宋体"/>
                <w:kern w:val="0"/>
                <w:szCs w:val="21"/>
              </w:rPr>
            </w:pPr>
          </w:p>
        </w:tc>
        <w:tc>
          <w:tcPr>
            <w:tcW w:w="720" w:type="dxa"/>
            <w:vMerge w:val="continue"/>
            <w:vAlign w:val="center"/>
          </w:tcPr>
          <w:p>
            <w:pPr>
              <w:widowControl/>
              <w:adjustRightInd w:val="0"/>
              <w:snapToGrid w:val="0"/>
              <w:jc w:val="center"/>
              <w:rPr>
                <w:rFonts w:ascii="宋体" w:cs="宋体"/>
                <w:kern w:val="0"/>
                <w:szCs w:val="21"/>
              </w:rPr>
            </w:pPr>
          </w:p>
        </w:tc>
        <w:tc>
          <w:tcPr>
            <w:tcW w:w="5815" w:type="dxa"/>
            <w:vAlign w:val="center"/>
          </w:tcPr>
          <w:p>
            <w:pPr>
              <w:pStyle w:val="49"/>
              <w:numPr>
                <w:ilvl w:val="0"/>
                <w:numId w:val="5"/>
              </w:numPr>
              <w:spacing w:line="240" w:lineRule="auto"/>
              <w:rPr>
                <w:rFonts w:hAnsi="宋体"/>
                <w:sz w:val="21"/>
                <w:szCs w:val="21"/>
              </w:rPr>
            </w:pPr>
            <w:r>
              <w:rPr>
                <w:rFonts w:hint="eastAsia" w:hAnsi="宋体"/>
                <w:sz w:val="21"/>
                <w:szCs w:val="21"/>
              </w:rPr>
              <w:t>在</w:t>
            </w:r>
            <w:r>
              <w:rPr>
                <w:rFonts w:hAnsi="宋体"/>
                <w:sz w:val="21"/>
                <w:szCs w:val="21"/>
              </w:rPr>
              <w:t>KPI</w:t>
            </w:r>
            <w:r>
              <w:rPr>
                <w:rFonts w:hint="eastAsia" w:hAnsi="宋体"/>
                <w:sz w:val="21"/>
                <w:szCs w:val="21"/>
              </w:rPr>
              <w:t>指标考核中注重核心价值观的行为表现；</w:t>
            </w:r>
          </w:p>
          <w:p>
            <w:pPr>
              <w:pStyle w:val="49"/>
              <w:numPr>
                <w:ilvl w:val="0"/>
                <w:numId w:val="5"/>
              </w:numPr>
              <w:spacing w:line="240" w:lineRule="auto"/>
              <w:rPr>
                <w:rFonts w:hAnsi="宋体"/>
                <w:sz w:val="21"/>
                <w:szCs w:val="21"/>
              </w:rPr>
            </w:pPr>
            <w:r>
              <w:rPr>
                <w:rFonts w:hint="eastAsia" w:hAnsi="宋体"/>
                <w:sz w:val="21"/>
                <w:szCs w:val="21"/>
              </w:rPr>
              <w:t>及时公布员工违反价值观的行为。</w:t>
            </w:r>
          </w:p>
        </w:tc>
        <w:tc>
          <w:tcPr>
            <w:tcW w:w="1868" w:type="dxa"/>
            <w:vMerge w:val="continue"/>
            <w:vAlign w:val="center"/>
          </w:tcPr>
          <w:p>
            <w:pPr>
              <w:adjustRightInd w:val="0"/>
              <w:snapToGrid w:val="0"/>
              <w:rPr>
                <w:rFonts w:ascii="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7" w:hRule="atLeast"/>
          <w:jc w:val="center"/>
        </w:trPr>
        <w:tc>
          <w:tcPr>
            <w:tcW w:w="720" w:type="dxa"/>
            <w:vMerge w:val="continue"/>
            <w:tcBorders>
              <w:bottom w:val="single" w:color="auto" w:sz="12" w:space="0"/>
            </w:tcBorders>
            <w:vAlign w:val="center"/>
          </w:tcPr>
          <w:p>
            <w:pPr>
              <w:widowControl/>
              <w:adjustRightInd w:val="0"/>
              <w:snapToGrid w:val="0"/>
              <w:jc w:val="center"/>
              <w:rPr>
                <w:rFonts w:ascii="宋体" w:cs="宋体"/>
                <w:kern w:val="0"/>
                <w:szCs w:val="21"/>
              </w:rPr>
            </w:pPr>
          </w:p>
        </w:tc>
        <w:tc>
          <w:tcPr>
            <w:tcW w:w="720" w:type="dxa"/>
            <w:tcBorders>
              <w:bottom w:val="single" w:color="auto" w:sz="12" w:space="0"/>
            </w:tcBorders>
            <w:vAlign w:val="center"/>
          </w:tcPr>
          <w:p>
            <w:pPr>
              <w:widowControl/>
              <w:adjustRightInd w:val="0"/>
              <w:snapToGrid w:val="0"/>
              <w:jc w:val="center"/>
              <w:rPr>
                <w:rFonts w:ascii="宋体" w:cs="宋体"/>
                <w:kern w:val="0"/>
                <w:szCs w:val="21"/>
              </w:rPr>
            </w:pPr>
            <w:r>
              <w:rPr>
                <w:rFonts w:hint="eastAsia" w:ascii="宋体" w:hAnsi="宋体" w:cs="宋体"/>
                <w:kern w:val="0"/>
                <w:szCs w:val="21"/>
              </w:rPr>
              <w:t>外部沟通</w:t>
            </w:r>
          </w:p>
        </w:tc>
        <w:tc>
          <w:tcPr>
            <w:tcW w:w="5815" w:type="dxa"/>
            <w:tcBorders>
              <w:bottom w:val="single" w:color="auto" w:sz="12" w:space="0"/>
            </w:tcBorders>
            <w:vAlign w:val="center"/>
          </w:tcPr>
          <w:p>
            <w:pPr>
              <w:pStyle w:val="49"/>
              <w:numPr>
                <w:ilvl w:val="0"/>
                <w:numId w:val="5"/>
              </w:numPr>
              <w:spacing w:line="240" w:lineRule="auto"/>
              <w:rPr>
                <w:rFonts w:hAnsi="宋体"/>
                <w:sz w:val="21"/>
                <w:szCs w:val="21"/>
              </w:rPr>
            </w:pPr>
            <w:r>
              <w:rPr>
                <w:rFonts w:hint="eastAsia" w:hAnsi="宋体"/>
                <w:sz w:val="21"/>
                <w:szCs w:val="21"/>
              </w:rPr>
              <w:t>重要客户、重要供应商、政府及其他相关方视察厂容；</w:t>
            </w:r>
          </w:p>
          <w:p>
            <w:pPr>
              <w:pStyle w:val="49"/>
              <w:numPr>
                <w:ilvl w:val="0"/>
                <w:numId w:val="5"/>
              </w:numPr>
              <w:spacing w:line="240" w:lineRule="auto"/>
              <w:rPr>
                <w:rFonts w:hAnsi="宋体"/>
                <w:sz w:val="21"/>
                <w:szCs w:val="21"/>
              </w:rPr>
            </w:pPr>
            <w:r>
              <w:rPr>
                <w:rFonts w:hint="eastAsia" w:hAnsi="宋体"/>
                <w:sz w:val="21"/>
                <w:szCs w:val="21"/>
              </w:rPr>
              <w:t>高层接受媒体的高端访谈；</w:t>
            </w:r>
          </w:p>
          <w:p>
            <w:pPr>
              <w:pStyle w:val="49"/>
              <w:numPr>
                <w:ilvl w:val="0"/>
                <w:numId w:val="5"/>
              </w:numPr>
              <w:spacing w:line="240" w:lineRule="auto"/>
              <w:rPr>
                <w:rFonts w:hAnsi="宋体"/>
                <w:sz w:val="21"/>
                <w:szCs w:val="21"/>
              </w:rPr>
            </w:pPr>
            <w:r>
              <w:rPr>
                <w:rFonts w:hint="eastAsia" w:hAnsi="宋体"/>
                <w:sz w:val="21"/>
                <w:szCs w:val="21"/>
              </w:rPr>
              <w:t>客户交流、行业会议等介绍企业文化。</w:t>
            </w:r>
          </w:p>
        </w:tc>
        <w:tc>
          <w:tcPr>
            <w:tcW w:w="1868" w:type="dxa"/>
            <w:tcBorders>
              <w:bottom w:val="single" w:color="auto" w:sz="12" w:space="0"/>
            </w:tcBorders>
            <w:vAlign w:val="center"/>
          </w:tcPr>
          <w:p>
            <w:pPr>
              <w:widowControl/>
              <w:adjustRightInd w:val="0"/>
              <w:snapToGrid w:val="0"/>
              <w:rPr>
                <w:rFonts w:ascii="宋体" w:cs="宋体"/>
                <w:kern w:val="0"/>
                <w:szCs w:val="21"/>
              </w:rPr>
            </w:pPr>
            <w:r>
              <w:rPr>
                <w:rFonts w:hint="eastAsia" w:ascii="宋体" w:hAnsi="宋体" w:cs="宋体"/>
                <w:kern w:val="0"/>
                <w:szCs w:val="21"/>
              </w:rPr>
              <w:t>提升企业形象，为与关键顾客、供应商和合作伙伴的长期合作奠定文化基础</w:t>
            </w:r>
          </w:p>
        </w:tc>
      </w:tr>
    </w:tbl>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将中辉裘革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pPr>
        <w:pStyle w:val="5"/>
        <w:ind w:left="0" w:leftChars="0" w:firstLine="0" w:firstLineChars="0"/>
        <w:rPr>
          <w:lang w:eastAsia="zh-CN"/>
        </w:rPr>
      </w:pPr>
      <w:bookmarkStart w:id="17" w:name="_Toc17614"/>
      <w:r>
        <w:rPr>
          <w:rFonts w:hint="eastAsia"/>
          <w:lang w:eastAsia="zh-CN"/>
        </w:rPr>
        <w:t>3.3营造诚信守法环境</w:t>
      </w:r>
      <w:bookmarkEnd w:id="17"/>
    </w:p>
    <w:p>
      <w:pPr>
        <w:spacing w:line="360" w:lineRule="auto"/>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pPr>
        <w:spacing w:line="360" w:lineRule="auto"/>
        <w:ind w:firstLine="600" w:firstLineChars="25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政府、客户</w:t>
      </w:r>
      <w:r>
        <w:rPr>
          <w:rFonts w:hint="eastAsia" w:ascii="宋体" w:hAnsi="宋体"/>
          <w:sz w:val="24"/>
          <w:szCs w:val="24"/>
          <w:lang w:val="en-US" w:eastAsia="zh-CN"/>
        </w:rPr>
        <w:t>认可：如</w:t>
      </w:r>
      <w:r>
        <w:rPr>
          <w:rFonts w:hint="eastAsia" w:ascii="宋体" w:hAnsi="宋体"/>
          <w:sz w:val="24"/>
          <w:szCs w:val="24"/>
          <w:lang w:eastAsia="zh-CN"/>
        </w:rPr>
        <w:t>“</w:t>
      </w:r>
      <w:r>
        <w:rPr>
          <w:rFonts w:hint="eastAsia" w:ascii="宋体" w:hAnsi="宋体"/>
          <w:sz w:val="24"/>
          <w:szCs w:val="24"/>
          <w:lang w:val="en-US" w:eastAsia="zh-CN"/>
        </w:rPr>
        <w:t>驰名商标</w:t>
      </w:r>
      <w:r>
        <w:rPr>
          <w:rFonts w:hint="eastAsia" w:ascii="宋体" w:hAnsi="宋体"/>
          <w:sz w:val="24"/>
          <w:szCs w:val="24"/>
          <w:lang w:eastAsia="zh-CN"/>
        </w:rPr>
        <w:t>”、“</w:t>
      </w:r>
      <w:r>
        <w:rPr>
          <w:rFonts w:hint="eastAsia" w:ascii="宋体" w:hAnsi="宋体"/>
          <w:sz w:val="24"/>
          <w:szCs w:val="24"/>
          <w:lang w:val="en-US" w:eastAsia="zh-CN"/>
        </w:rPr>
        <w:t>知名商号</w:t>
      </w:r>
      <w:r>
        <w:rPr>
          <w:rFonts w:hint="eastAsia" w:ascii="宋体" w:hAnsi="宋体"/>
          <w:sz w:val="24"/>
          <w:szCs w:val="24"/>
          <w:lang w:eastAsia="zh-CN"/>
        </w:rPr>
        <w:t>”、“</w:t>
      </w:r>
      <w:r>
        <w:rPr>
          <w:rFonts w:hint="eastAsia" w:ascii="宋体" w:hAnsi="宋体"/>
          <w:sz w:val="24"/>
          <w:szCs w:val="24"/>
          <w:lang w:val="en-US" w:eastAsia="zh-CN"/>
        </w:rPr>
        <w:t>著名商标</w:t>
      </w:r>
      <w:r>
        <w:rPr>
          <w:rFonts w:hint="eastAsia" w:ascii="宋体" w:hAnsi="宋体"/>
          <w:sz w:val="24"/>
          <w:szCs w:val="24"/>
          <w:lang w:eastAsia="zh-CN"/>
        </w:rPr>
        <w:t>”、“浙江省信用管理示范企业”等荣誉，如图3.3-1 所示：</w:t>
      </w:r>
    </w:p>
    <w:p>
      <w:pPr>
        <w:spacing w:line="360" w:lineRule="auto"/>
        <w:ind w:firstLine="602" w:firstLineChars="250"/>
        <w:jc w:val="center"/>
        <w:rPr>
          <w:rFonts w:ascii="宋体" w:hAnsi="宋体"/>
          <w:b/>
          <w:sz w:val="24"/>
          <w:szCs w:val="24"/>
          <w:lang w:eastAsia="zh-CN"/>
        </w:rPr>
      </w:pPr>
      <w:r>
        <w:rPr>
          <w:rFonts w:hint="eastAsia" w:ascii="宋体" w:hAnsi="宋体"/>
          <w:b/>
          <w:sz w:val="24"/>
          <w:szCs w:val="24"/>
          <w:lang w:eastAsia="zh-CN"/>
        </w:rPr>
        <w:t>图3.3-1 社会认可的证书（示例）</w:t>
      </w:r>
    </w:p>
    <w:p>
      <w:pPr>
        <w:spacing w:line="360" w:lineRule="auto"/>
        <w:jc w:val="both"/>
        <w:rPr>
          <w:rFonts w:ascii="宋体" w:hAnsi="宋体"/>
          <w:sz w:val="24"/>
          <w:szCs w:val="24"/>
          <w:lang w:eastAsia="zh-CN"/>
        </w:rPr>
      </w:pPr>
      <w:r>
        <w:rPr>
          <w:rFonts w:hint="eastAsia" w:ascii="宋体" w:hAnsi="宋体"/>
          <w:sz w:val="24"/>
          <w:szCs w:val="24"/>
          <w:lang w:eastAsia="zh-CN"/>
        </w:rPr>
        <w:drawing>
          <wp:inline distT="0" distB="0" distL="114300" distR="114300">
            <wp:extent cx="2769870" cy="1926590"/>
            <wp:effectExtent l="12700" t="12700" r="17780" b="22860"/>
            <wp:docPr id="4" name="图片 4" descr="1574606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4606021(1)"/>
                    <pic:cNvPicPr>
                      <a:picLocks noChangeAspect="1"/>
                    </pic:cNvPicPr>
                  </pic:nvPicPr>
                  <pic:blipFill>
                    <a:blip r:embed="rId12"/>
                    <a:stretch>
                      <a:fillRect/>
                    </a:stretch>
                  </pic:blipFill>
                  <pic:spPr>
                    <a:xfrm>
                      <a:off x="0" y="0"/>
                      <a:ext cx="2769870" cy="1926590"/>
                    </a:xfrm>
                    <a:prstGeom prst="rect">
                      <a:avLst/>
                    </a:prstGeom>
                    <a:ln w="12700" cmpd="sng">
                      <a:solidFill>
                        <a:schemeClr val="accent1">
                          <a:shade val="50000"/>
                        </a:schemeClr>
                      </a:solidFill>
                      <a:prstDash val="solid"/>
                    </a:ln>
                  </pic:spPr>
                </pic:pic>
              </a:graphicData>
            </a:graphic>
          </wp:inline>
        </w:drawing>
      </w:r>
      <w:r>
        <w:rPr>
          <w:rFonts w:hint="eastAsia" w:ascii="宋体" w:hAnsi="宋体"/>
          <w:sz w:val="24"/>
          <w:szCs w:val="24"/>
          <w:lang w:eastAsia="zh-CN"/>
        </w:rPr>
        <w:t xml:space="preserve"> </w:t>
      </w:r>
      <w:r>
        <w:rPr>
          <w:rFonts w:ascii="宋体" w:hAnsi="宋体"/>
          <w:sz w:val="24"/>
          <w:szCs w:val="24"/>
          <w:lang w:eastAsia="zh-CN"/>
        </w:rPr>
        <w:drawing>
          <wp:inline distT="0" distB="0" distL="114300" distR="114300">
            <wp:extent cx="2745740" cy="1910715"/>
            <wp:effectExtent l="12700" t="12700" r="22860" b="19685"/>
            <wp:docPr id="5" name="图片 5" descr="1574606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4606054(1)"/>
                    <pic:cNvPicPr>
                      <a:picLocks noChangeAspect="1"/>
                    </pic:cNvPicPr>
                  </pic:nvPicPr>
                  <pic:blipFill>
                    <a:blip r:embed="rId13"/>
                    <a:stretch>
                      <a:fillRect/>
                    </a:stretch>
                  </pic:blipFill>
                  <pic:spPr>
                    <a:xfrm>
                      <a:off x="0" y="0"/>
                      <a:ext cx="2745740" cy="1910715"/>
                    </a:xfrm>
                    <a:prstGeom prst="rect">
                      <a:avLst/>
                    </a:prstGeom>
                    <a:ln w="12700" cmpd="sng">
                      <a:solidFill>
                        <a:schemeClr val="accent1">
                          <a:shade val="50000"/>
                        </a:schemeClr>
                      </a:solidFill>
                      <a:prstDash val="solid"/>
                    </a:ln>
                  </pic:spPr>
                </pic:pic>
              </a:graphicData>
            </a:graphic>
          </wp:inline>
        </w:drawing>
      </w:r>
    </w:p>
    <w:p>
      <w:pPr>
        <w:spacing w:line="360" w:lineRule="auto"/>
        <w:ind w:firstLine="480" w:firstLineChars="200"/>
        <w:jc w:val="both"/>
        <w:rPr>
          <w:rFonts w:ascii="宋体"/>
          <w:sz w:val="24"/>
          <w:szCs w:val="24"/>
          <w:lang w:eastAsia="zh-CN"/>
        </w:rPr>
      </w:pPr>
      <w:r>
        <w:rPr>
          <w:rFonts w:ascii="宋体" w:hAnsi="宋体"/>
          <w:sz w:val="24"/>
          <w:szCs w:val="24"/>
          <w:lang w:eastAsia="zh-CN"/>
        </w:rPr>
        <w:t>3.3.2</w:t>
      </w:r>
      <w:r>
        <w:rPr>
          <w:rFonts w:hint="eastAsia" w:ascii="宋体" w:hAnsi="宋体"/>
          <w:sz w:val="24"/>
          <w:szCs w:val="24"/>
          <w:lang w:eastAsia="zh-CN"/>
        </w:rPr>
        <w:t>遵纪守法</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hint="eastAsia" w:ascii="宋体" w:hAnsi="宋体"/>
          <w:sz w:val="24"/>
          <w:szCs w:val="24"/>
          <w:lang w:eastAsia="zh-CN"/>
        </w:rPr>
        <w:t>、总</w:t>
      </w:r>
      <w:r>
        <w:rPr>
          <w:rFonts w:ascii="宋体" w:hAnsi="宋体"/>
          <w:sz w:val="24"/>
          <w:szCs w:val="24"/>
          <w:lang w:eastAsia="zh-CN"/>
        </w:rPr>
        <w:t>经理层贯彻执行法律、行政法规，履行诚信和勤勉的义务等方面做了明确的规定，</w:t>
      </w:r>
      <w:r>
        <w:rPr>
          <w:rFonts w:hint="eastAsia" w:ascii="宋体" w:hAnsi="宋体"/>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1</w:t>
      </w:r>
      <w:r>
        <w:rPr>
          <w:rFonts w:hint="eastAsia" w:ascii="宋体" w:hAnsi="宋体"/>
          <w:sz w:val="24"/>
          <w:szCs w:val="24"/>
          <w:lang w:val="en-US" w:eastAsia="zh-CN"/>
        </w:rPr>
        <w:t>3</w:t>
      </w:r>
      <w:r>
        <w:rPr>
          <w:rFonts w:hint="eastAsia" w:ascii="宋体" w:hAnsi="宋体"/>
          <w:sz w:val="24"/>
          <w:szCs w:val="24"/>
          <w:lang w:eastAsia="zh-CN"/>
        </w:rPr>
        <w:t>年就开始逐步导入ISO14001环境管理体系和ISO45001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spacing w:line="360" w:lineRule="auto"/>
        <w:ind w:firstLine="448" w:firstLineChars="200"/>
        <w:rPr>
          <w:spacing w:val="2"/>
          <w:lang w:eastAsia="zh-CN"/>
        </w:rPr>
      </w:pPr>
    </w:p>
    <w:p>
      <w:pPr>
        <w:pStyle w:val="3"/>
        <w:rPr>
          <w:lang w:eastAsia="zh-CN"/>
        </w:rPr>
      </w:pPr>
      <w:bookmarkStart w:id="18" w:name="_Toc16457"/>
      <w:r>
        <w:rPr>
          <w:rFonts w:hint="eastAsia"/>
          <w:spacing w:val="2"/>
          <w:lang w:eastAsia="zh-CN"/>
        </w:rPr>
        <w:t>第四</w:t>
      </w:r>
      <w:r>
        <w:rPr>
          <w:rFonts w:hint="eastAsia"/>
          <w:lang w:eastAsia="zh-CN"/>
        </w:rPr>
        <w:t>章</w:t>
      </w:r>
      <w:r>
        <w:rPr>
          <w:spacing w:val="-20"/>
          <w:lang w:eastAsia="zh-CN"/>
        </w:rPr>
        <w:t xml:space="preserve"> </w:t>
      </w:r>
      <w:r>
        <w:rPr>
          <w:rFonts w:hint="eastAsia"/>
          <w:spacing w:val="2"/>
          <w:lang w:eastAsia="zh-CN"/>
        </w:rPr>
        <w:t>质量基础</w:t>
      </w:r>
      <w:bookmarkEnd w:id="18"/>
    </w:p>
    <w:p>
      <w:pPr>
        <w:pStyle w:val="5"/>
        <w:ind w:firstLine="480"/>
        <w:rPr>
          <w:szCs w:val="24"/>
          <w:lang w:eastAsia="zh-CN"/>
        </w:rPr>
      </w:pPr>
      <w:bookmarkStart w:id="19" w:name="_Toc1062"/>
      <w:r>
        <w:rPr>
          <w:rFonts w:ascii="Cambria" w:hAnsi="Cambria" w:cs="Cambria"/>
          <w:szCs w:val="24"/>
          <w:lang w:eastAsia="zh-CN"/>
        </w:rPr>
        <w:t>4.1</w:t>
      </w:r>
      <w:r>
        <w:rPr>
          <w:rFonts w:ascii="Cambria" w:hAnsi="Cambria" w:cs="Cambria"/>
          <w:spacing w:val="-6"/>
          <w:szCs w:val="24"/>
          <w:lang w:eastAsia="zh-CN"/>
        </w:rPr>
        <w:t xml:space="preserve"> </w:t>
      </w:r>
      <w:r>
        <w:rPr>
          <w:rFonts w:hint="eastAsia"/>
          <w:szCs w:val="24"/>
          <w:lang w:eastAsia="zh-CN"/>
        </w:rPr>
        <w:t>产品</w:t>
      </w:r>
      <w:r>
        <w:rPr>
          <w:rFonts w:hint="eastAsia"/>
          <w:spacing w:val="2"/>
          <w:szCs w:val="24"/>
          <w:lang w:eastAsia="zh-CN"/>
        </w:rPr>
        <w:t>标</w:t>
      </w:r>
      <w:r>
        <w:rPr>
          <w:rFonts w:hint="eastAsia"/>
          <w:szCs w:val="24"/>
          <w:lang w:eastAsia="zh-CN"/>
        </w:rPr>
        <w:t>准</w:t>
      </w:r>
      <w:bookmarkEnd w:id="19"/>
    </w:p>
    <w:p>
      <w:pPr>
        <w:pStyle w:val="7"/>
        <w:spacing w:line="360" w:lineRule="auto"/>
        <w:ind w:left="220" w:leftChars="100" w:firstLine="488" w:firstLineChars="200"/>
        <w:jc w:val="both"/>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公司具有完备的体系文件，按照</w:t>
      </w:r>
      <w:r>
        <w:rPr>
          <w:rFonts w:asciiTheme="minorEastAsia" w:hAnsiTheme="minorEastAsia" w:eastAsiaTheme="minorEastAsia"/>
          <w:color w:val="000000"/>
          <w:spacing w:val="2"/>
          <w:sz w:val="24"/>
          <w:szCs w:val="24"/>
          <w:lang w:eastAsia="zh-CN"/>
        </w:rPr>
        <w:t>ISO9001：2015</w:t>
      </w:r>
      <w:r>
        <w:rPr>
          <w:rFonts w:hint="eastAsia" w:asciiTheme="minorEastAsia" w:hAnsiTheme="minorEastAsia" w:eastAsiaTheme="minorEastAsia"/>
          <w:color w:val="000000"/>
          <w:spacing w:val="2"/>
          <w:sz w:val="24"/>
          <w:szCs w:val="24"/>
          <w:lang w:eastAsia="zh-CN"/>
        </w:rPr>
        <w:t>质量管理体系认证等管理体系要求及公司的实际情况，确保与管理活动、资源提供、产品实现和测量有关的过程都进行了有效策划，编制了适宜的文件，以使质量管理体系有效运行。</w:t>
      </w:r>
    </w:p>
    <w:p>
      <w:pPr>
        <w:spacing w:line="360" w:lineRule="auto"/>
        <w:ind w:firstLine="448" w:firstLineChars="200"/>
        <w:rPr>
          <w:rFonts w:cs="宋体" w:asciiTheme="minorEastAsia" w:hAnsiTheme="minorEastAsia"/>
          <w:sz w:val="24"/>
          <w:szCs w:val="24"/>
          <w:lang w:eastAsia="zh-CN"/>
        </w:rPr>
      </w:pPr>
      <w:r>
        <w:rPr>
          <w:rFonts w:hint="eastAsia" w:asciiTheme="minorEastAsia" w:hAnsiTheme="minorEastAsia" w:eastAsiaTheme="minorEastAsia"/>
          <w:spacing w:val="2"/>
          <w:kern w:val="0"/>
          <w:szCs w:val="24"/>
        </w:rPr>
        <w:t>公司</w:t>
      </w:r>
      <w:r>
        <w:rPr>
          <w:rFonts w:hint="eastAsia" w:ascii="宋体" w:hAnsi="宋体" w:eastAsiaTheme="minorEastAsia"/>
          <w:sz w:val="24"/>
          <w:highlight w:val="none"/>
          <w:lang w:eastAsia="zh-CN"/>
        </w:rPr>
        <w:t>已拥有有效专利12项，其中发明专利10项，实用新专利2项</w:t>
      </w:r>
      <w:r>
        <w:rPr>
          <w:rFonts w:hint="eastAsia" w:ascii="宋体" w:hAnsi="Calibri Bold" w:cs="宋体"/>
          <w:color w:val="000000"/>
          <w:kern w:val="0"/>
          <w:sz w:val="24"/>
          <w:szCs w:val="24"/>
          <w:highlight w:val="none"/>
        </w:rPr>
        <w:t>；积极发表行业期刊论文。已经公开发表的论文9篇，同时在中国工程院第100场工程科技论坛上作报告一次；</w:t>
      </w:r>
      <w:r>
        <w:rPr>
          <w:rFonts w:hint="eastAsia" w:ascii="宋体" w:hAnsi="Calibri Bold" w:cs="宋体"/>
          <w:color w:val="000000"/>
          <w:kern w:val="0"/>
          <w:sz w:val="24"/>
          <w:szCs w:val="24"/>
          <w:lang w:eastAsia="zh-CN"/>
        </w:rPr>
        <w:t>研发中心</w:t>
      </w:r>
      <w:r>
        <w:rPr>
          <w:rFonts w:hint="eastAsia" w:ascii="宋体" w:hAnsi="Calibri Bold" w:cs="宋体"/>
          <w:color w:val="000000"/>
          <w:kern w:val="0"/>
          <w:sz w:val="24"/>
          <w:szCs w:val="24"/>
        </w:rPr>
        <w:t>通过自主研发、产学研合作等累计研制开发、应用各类新产品、新技术、新工艺等技术创新项目23项</w:t>
      </w:r>
      <w:r>
        <w:rPr>
          <w:rFonts w:hint="eastAsia" w:ascii="宋体" w:hAnsi="Calibri Bold" w:cs="宋体"/>
          <w:color w:val="000000"/>
          <w:kern w:val="0"/>
          <w:sz w:val="24"/>
          <w:szCs w:val="24"/>
          <w:lang w:eastAsia="zh-CN"/>
        </w:rPr>
        <w:t>；</w:t>
      </w:r>
      <w:r>
        <w:rPr>
          <w:rFonts w:hint="eastAsia" w:ascii="宋体" w:hAnsi="宋体" w:cs="宋体"/>
          <w:color w:val="000000"/>
          <w:kern w:val="0"/>
          <w:sz w:val="24"/>
          <w:szCs w:val="24"/>
          <w:lang w:val="en-US" w:eastAsia="zh-CN"/>
        </w:rPr>
        <w:t>参考国家标准或行业标准共6项</w:t>
      </w:r>
      <w:r>
        <w:rPr>
          <w:rFonts w:hint="eastAsia" w:ascii="宋体" w:hAnsi="Calibri Bold" w:cs="宋体"/>
          <w:color w:val="000000"/>
          <w:kern w:val="0"/>
          <w:sz w:val="24"/>
          <w:szCs w:val="24"/>
        </w:rPr>
        <w:t>。</w:t>
      </w:r>
    </w:p>
    <w:p>
      <w:pPr>
        <w:pStyle w:val="5"/>
        <w:ind w:firstLine="480"/>
        <w:rPr>
          <w:rFonts w:ascii="Cambria" w:hAnsi="Cambria" w:cs="Cambria"/>
          <w:szCs w:val="24"/>
          <w:lang w:eastAsia="zh-CN"/>
        </w:rPr>
      </w:pPr>
      <w:bookmarkStart w:id="20" w:name="_Toc30607"/>
      <w:r>
        <w:rPr>
          <w:rFonts w:ascii="Cambria" w:hAnsi="Cambria" w:cs="Cambria"/>
          <w:szCs w:val="24"/>
          <w:lang w:eastAsia="zh-CN"/>
        </w:rPr>
        <w:t xml:space="preserve">4.2 </w:t>
      </w:r>
      <w:r>
        <w:rPr>
          <w:rFonts w:hint="eastAsia" w:ascii="Cambria" w:hAnsi="Cambria" w:cs="Cambria"/>
          <w:szCs w:val="24"/>
          <w:lang w:eastAsia="zh-CN"/>
        </w:rPr>
        <w:t>计量水平</w:t>
      </w:r>
      <w:bookmarkEnd w:id="20"/>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w:t>
      </w:r>
      <w:bookmarkStart w:id="21" w:name="_Toc31362"/>
      <w:r>
        <w:rPr>
          <w:rFonts w:hint="eastAsia" w:cs="宋体" w:asciiTheme="minorEastAsia" w:hAnsiTheme="minorEastAsia"/>
          <w:sz w:val="24"/>
          <w:szCs w:val="24"/>
          <w:lang w:eastAsia="zh-CN"/>
        </w:rPr>
        <w:t>按照ISO10012的要求，覆盖从物资采购验收到产品出厂交付的全过程管理，</w:t>
      </w:r>
      <w:r>
        <w:rPr>
          <w:rFonts w:hint="eastAsia" w:ascii="宋体" w:hAnsi="宋体"/>
          <w:bCs/>
          <w:sz w:val="24"/>
        </w:rPr>
        <w:t>拥有各类试验设备</w:t>
      </w:r>
      <w:r>
        <w:rPr>
          <w:rFonts w:hint="eastAsia" w:ascii="宋体" w:hAnsi="宋体"/>
          <w:bCs/>
          <w:sz w:val="24"/>
          <w:lang w:val="en-US" w:eastAsia="zh-CN"/>
        </w:rPr>
        <w:t>100多</w:t>
      </w:r>
      <w:r>
        <w:rPr>
          <w:rFonts w:hint="eastAsia" w:ascii="宋体" w:hAnsi="宋体"/>
          <w:bCs/>
          <w:sz w:val="24"/>
        </w:rPr>
        <w:t>台套，包括配备撕裂力、规定负荷伸长率、收缩温度、pH值、游离甲醛项目的检测设备</w:t>
      </w:r>
      <w:r>
        <w:rPr>
          <w:rFonts w:hint="eastAsia" w:cs="宋体" w:asciiTheme="minorEastAsia" w:hAnsiTheme="minorEastAsia"/>
          <w:sz w:val="24"/>
          <w:szCs w:val="24"/>
          <w:lang w:eastAsia="zh-CN"/>
        </w:rPr>
        <w:t>，保证了计量检测结果准确。</w:t>
      </w:r>
    </w:p>
    <w:p>
      <w:pPr>
        <w:spacing w:line="360" w:lineRule="auto"/>
        <w:ind w:firstLine="440" w:firstLineChars="200"/>
        <w:rPr>
          <w:rFonts w:ascii="Cambria" w:hAnsi="Cambria" w:cs="Cambria"/>
          <w:szCs w:val="24"/>
          <w:lang w:eastAsia="zh-CN"/>
        </w:rPr>
      </w:pPr>
      <w:r>
        <w:rPr>
          <w:rFonts w:ascii="Cambria" w:hAnsi="Cambria" w:cs="Cambria"/>
          <w:szCs w:val="24"/>
          <w:lang w:eastAsia="zh-CN"/>
        </w:rPr>
        <w:t xml:space="preserve">4.3 </w:t>
      </w:r>
      <w:r>
        <w:rPr>
          <w:rFonts w:hint="eastAsia" w:ascii="Cambria" w:hAnsi="Cambria" w:cs="Cambria"/>
          <w:szCs w:val="24"/>
          <w:lang w:eastAsia="zh-CN"/>
        </w:rPr>
        <w:t>认证认可情况</w:t>
      </w:r>
      <w:bookmarkEnd w:id="21"/>
    </w:p>
    <w:p>
      <w:pPr>
        <w:spacing w:line="360" w:lineRule="auto"/>
        <w:ind w:firstLine="480" w:firstLineChars="200"/>
        <w:rPr>
          <w:rFonts w:ascii="Times New Roman" w:hAnsi="Times New Roman"/>
          <w:kern w:val="2"/>
          <w:sz w:val="24"/>
          <w:szCs w:val="26"/>
          <w:lang w:eastAsia="zh-CN"/>
        </w:rPr>
      </w:pPr>
      <w:r>
        <w:rPr>
          <w:rFonts w:hint="eastAsia"/>
          <w:sz w:val="24"/>
          <w:szCs w:val="26"/>
          <w:lang w:eastAsia="zh-CN"/>
        </w:rPr>
        <w:t>公司先后通过并获得了ISO9001、ISO14001、ISO45001</w:t>
      </w:r>
      <w:r>
        <w:rPr>
          <w:rFonts w:hint="eastAsia"/>
          <w:sz w:val="24"/>
          <w:szCs w:val="26"/>
          <w:lang w:val="en-US" w:eastAsia="zh-CN"/>
        </w:rPr>
        <w:t>和GB/T29490四大</w:t>
      </w:r>
      <w:r>
        <w:rPr>
          <w:rFonts w:hint="eastAsia"/>
          <w:sz w:val="24"/>
          <w:szCs w:val="26"/>
          <w:lang w:eastAsia="zh-CN"/>
        </w:rPr>
        <w:t>管理体系认证。</w:t>
      </w:r>
    </w:p>
    <w:p>
      <w:pPr>
        <w:spacing w:line="360" w:lineRule="auto"/>
        <w:rPr>
          <w:rFonts w:ascii="Times New Roman" w:hAnsi="Times New Roman"/>
          <w:kern w:val="2"/>
          <w:sz w:val="24"/>
          <w:szCs w:val="26"/>
          <w:lang w:eastAsia="zh-CN"/>
        </w:rPr>
      </w:pPr>
      <w:r>
        <w:rPr>
          <w:rFonts w:ascii="Times New Roman" w:hAnsi="Times New Roman"/>
          <w:kern w:val="2"/>
          <w:sz w:val="24"/>
          <w:szCs w:val="26"/>
          <w:lang w:eastAsia="zh-CN"/>
        </w:rPr>
        <w:drawing>
          <wp:inline distT="0" distB="0" distL="114300" distR="114300">
            <wp:extent cx="6031230" cy="2794000"/>
            <wp:effectExtent l="12700" t="12700" r="13970" b="12700"/>
            <wp:docPr id="3" name="图片 3" descr="163482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4826355(1)"/>
                    <pic:cNvPicPr>
                      <a:picLocks noChangeAspect="1"/>
                    </pic:cNvPicPr>
                  </pic:nvPicPr>
                  <pic:blipFill>
                    <a:blip r:embed="rId14"/>
                    <a:stretch>
                      <a:fillRect/>
                    </a:stretch>
                  </pic:blipFill>
                  <pic:spPr>
                    <a:xfrm>
                      <a:off x="0" y="0"/>
                      <a:ext cx="6031230" cy="2794000"/>
                    </a:xfrm>
                    <a:prstGeom prst="rect">
                      <a:avLst/>
                    </a:prstGeom>
                    <a:ln w="12700" cmpd="sng">
                      <a:solidFill>
                        <a:schemeClr val="accent1">
                          <a:shade val="50000"/>
                        </a:schemeClr>
                      </a:solidFill>
                      <a:prstDash val="solid"/>
                    </a:ln>
                  </pic:spPr>
                </pic:pic>
              </a:graphicData>
            </a:graphic>
          </wp:inline>
        </w:drawing>
      </w:r>
    </w:p>
    <w:p>
      <w:pPr>
        <w:pStyle w:val="5"/>
        <w:ind w:firstLine="439" w:firstLineChars="183"/>
        <w:rPr>
          <w:rFonts w:ascii="Cambria" w:hAnsi="Cambria" w:cs="Cambria"/>
          <w:szCs w:val="24"/>
          <w:lang w:eastAsia="zh-CN"/>
        </w:rPr>
      </w:pPr>
      <w:bookmarkStart w:id="22" w:name="_Toc19344"/>
      <w:r>
        <w:rPr>
          <w:rFonts w:ascii="Cambria" w:hAnsi="Cambria" w:cs="Cambria"/>
          <w:szCs w:val="24"/>
          <w:lang w:eastAsia="zh-CN"/>
        </w:rPr>
        <w:t xml:space="preserve">4.4 </w:t>
      </w:r>
      <w:r>
        <w:rPr>
          <w:rFonts w:hint="eastAsia" w:ascii="Cambria" w:hAnsi="Cambria" w:cs="Cambria"/>
          <w:szCs w:val="24"/>
          <w:lang w:eastAsia="zh-CN"/>
        </w:rPr>
        <w:t>特种设备安全管理</w:t>
      </w:r>
      <w:bookmarkEnd w:id="22"/>
      <w:r>
        <w:rPr>
          <w:rFonts w:ascii="Cambria" w:hAnsi="Cambria" w:cs="Cambria"/>
          <w:szCs w:val="24"/>
          <w:lang w:eastAsia="zh-CN"/>
        </w:rPr>
        <w:t xml:space="preserve"> </w:t>
      </w:r>
    </w:p>
    <w:p>
      <w:pPr>
        <w:pStyle w:val="7"/>
        <w:spacing w:line="360" w:lineRule="auto"/>
        <w:ind w:left="0" w:right="47" w:firstLine="488" w:firstLineChars="200"/>
        <w:jc w:val="both"/>
        <w:rPr>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pPr>
        <w:pStyle w:val="7"/>
        <w:spacing w:line="360" w:lineRule="auto"/>
        <w:ind w:left="0" w:firstLine="488" w:firstLineChars="200"/>
        <w:jc w:val="both"/>
        <w:rPr>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pStyle w:val="7"/>
        <w:spacing w:line="360" w:lineRule="auto"/>
        <w:ind w:left="0" w:firstLine="488" w:firstLineChars="200"/>
        <w:jc w:val="both"/>
        <w:rPr>
          <w:spacing w:val="2"/>
          <w:sz w:val="24"/>
          <w:lang w:eastAsia="zh-CN"/>
        </w:rPr>
      </w:pPr>
    </w:p>
    <w:p>
      <w:pPr>
        <w:pStyle w:val="7"/>
        <w:spacing w:line="360" w:lineRule="auto"/>
        <w:ind w:left="0" w:firstLine="488" w:firstLineChars="200"/>
        <w:jc w:val="both"/>
        <w:rPr>
          <w:spacing w:val="2"/>
          <w:sz w:val="24"/>
          <w:lang w:eastAsia="zh-CN"/>
        </w:rPr>
      </w:pPr>
    </w:p>
    <w:p>
      <w:pPr>
        <w:pStyle w:val="3"/>
        <w:rPr>
          <w:lang w:eastAsia="zh-CN"/>
        </w:rPr>
      </w:pPr>
      <w:bookmarkStart w:id="23" w:name="_Toc13921"/>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3"/>
    </w:p>
    <w:p>
      <w:pPr>
        <w:pStyle w:val="5"/>
        <w:ind w:firstLine="480"/>
        <w:rPr>
          <w:rFonts w:ascii="Cambria" w:hAnsi="Cambria" w:cs="Cambria"/>
          <w:szCs w:val="24"/>
          <w:lang w:eastAsia="zh-CN"/>
        </w:rPr>
      </w:pPr>
      <w:bookmarkStart w:id="24" w:name="_Toc22767"/>
      <w:r>
        <w:rPr>
          <w:rFonts w:ascii="Cambria" w:hAnsi="Cambria" w:cs="Cambria"/>
          <w:szCs w:val="24"/>
          <w:lang w:eastAsia="zh-CN"/>
        </w:rPr>
        <w:t xml:space="preserve">5.1 </w:t>
      </w:r>
      <w:r>
        <w:rPr>
          <w:rFonts w:hint="eastAsia" w:ascii="Cambria" w:hAnsi="Cambria" w:cs="Cambria"/>
          <w:szCs w:val="24"/>
          <w:lang w:eastAsia="zh-CN"/>
        </w:rPr>
        <w:t>产品质量承诺</w:t>
      </w:r>
      <w:bookmarkEnd w:id="24"/>
    </w:p>
    <w:p>
      <w:pPr>
        <w:pStyle w:val="7"/>
        <w:spacing w:line="360" w:lineRule="auto"/>
        <w:ind w:left="363" w:leftChars="165" w:right="127" w:firstLine="390" w:firstLineChars="173"/>
        <w:rPr>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pPr>
        <w:pStyle w:val="7"/>
        <w:spacing w:before="46" w:line="360" w:lineRule="auto"/>
        <w:ind w:left="121" w:leftChars="55" w:right="489" w:firstLine="673" w:firstLineChars="276"/>
        <w:rPr>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pPr>
        <w:pStyle w:val="7"/>
        <w:spacing w:before="41" w:line="360" w:lineRule="auto"/>
        <w:ind w:left="121" w:leftChars="55" w:right="491" w:firstLine="624" w:firstLineChars="256"/>
        <w:rPr>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pPr>
        <w:pStyle w:val="7"/>
        <w:spacing w:line="360" w:lineRule="auto"/>
        <w:ind w:left="288" w:leftChars="131" w:firstLine="478" w:firstLineChars="196"/>
        <w:rPr>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pPr>
        <w:pStyle w:val="7"/>
        <w:spacing w:before="44" w:line="360" w:lineRule="auto"/>
        <w:ind w:left="680" w:leftChars="309" w:firstLine="119" w:firstLineChars="49"/>
        <w:rPr>
          <w:spacing w:val="2"/>
          <w:sz w:val="24"/>
          <w:szCs w:val="24"/>
          <w:lang w:eastAsia="zh-CN"/>
        </w:rPr>
      </w:pPr>
      <w:r>
        <w:rPr>
          <w:rFonts w:hint="eastAsia"/>
          <w:spacing w:val="2"/>
          <w:sz w:val="24"/>
          <w:szCs w:val="24"/>
          <w:lang w:eastAsia="zh-CN"/>
        </w:rPr>
        <w:t>5、本企业以“零缺陷”为目标，确保不合规格产品不出厂。</w:t>
      </w:r>
    </w:p>
    <w:p>
      <w:pPr>
        <w:pStyle w:val="5"/>
        <w:ind w:firstLine="480"/>
        <w:rPr>
          <w:rFonts w:ascii="Cambria" w:hAnsi="Cambria" w:cs="Cambria"/>
          <w:szCs w:val="24"/>
          <w:lang w:eastAsia="zh-CN"/>
        </w:rPr>
      </w:pPr>
      <w:bookmarkStart w:id="25" w:name="_Toc4467"/>
      <w:r>
        <w:rPr>
          <w:rFonts w:hint="eastAsia" w:ascii="Cambria" w:hAnsi="Cambria" w:cs="Cambria"/>
          <w:szCs w:val="24"/>
          <w:lang w:eastAsia="zh-CN"/>
        </w:rPr>
        <w:t>5.2 产品荣誉情况</w:t>
      </w:r>
      <w:bookmarkEnd w:id="25"/>
      <w:r>
        <w:rPr>
          <w:rFonts w:hint="eastAsia" w:ascii="Cambria" w:hAnsi="Cambria" w:cs="Cambria"/>
          <w:szCs w:val="24"/>
          <w:lang w:eastAsia="zh-CN"/>
        </w:rPr>
        <w:t xml:space="preserve"> </w:t>
      </w:r>
    </w:p>
    <w:p>
      <w:pPr>
        <w:spacing w:before="3" w:line="360" w:lineRule="auto"/>
        <w:ind w:firstLine="480" w:firstLineChars="200"/>
        <w:rPr>
          <w:rFonts w:hint="eastAsia" w:ascii="宋体" w:hAnsi="宋体" w:eastAsia="宋体" w:cs="Times New Roman"/>
          <w:sz w:val="24"/>
          <w:szCs w:val="24"/>
          <w:lang w:eastAsia="zh-CN"/>
        </w:rPr>
      </w:pPr>
      <w:r>
        <w:rPr>
          <w:rFonts w:hint="eastAsia" w:ascii="宋体" w:hAnsi="宋体"/>
          <w:sz w:val="24"/>
          <w:szCs w:val="24"/>
          <w:lang w:eastAsia="zh-CN"/>
        </w:rPr>
        <w:t>公司按照“守法经营，依法纳税”的经营基本原则，严格遵守《公司法》、《安全生产法》等各项法律</w:t>
      </w:r>
      <w:r>
        <w:rPr>
          <w:rFonts w:hint="eastAsia" w:ascii="宋体" w:hAnsi="宋体" w:eastAsia="宋体" w:cs="Times New Roman"/>
          <w:sz w:val="24"/>
          <w:szCs w:val="24"/>
          <w:lang w:eastAsia="zh-CN"/>
        </w:rPr>
        <w:t>法规要求，形成良好的遵德行为规范环境。201</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lang w:eastAsia="zh-CN"/>
        </w:rPr>
        <w:t>年被评为“</w:t>
      </w:r>
      <w:r>
        <w:rPr>
          <w:rFonts w:hint="eastAsia" w:ascii="宋体" w:hAnsi="宋体" w:eastAsia="宋体" w:cs="Times New Roman"/>
          <w:sz w:val="24"/>
          <w:szCs w:val="24"/>
          <w:lang w:val="en-US" w:eastAsia="zh-CN"/>
        </w:rPr>
        <w:t>浙江省知名商号</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2016年1月“中辉”商品被评为“浙江省著名商标”</w:t>
      </w:r>
      <w:r>
        <w:rPr>
          <w:rFonts w:hint="eastAsia" w:ascii="宋体" w:hAnsi="宋体" w:eastAsia="宋体" w:cs="Times New Roman"/>
          <w:sz w:val="24"/>
          <w:szCs w:val="24"/>
          <w:lang w:eastAsia="zh-CN"/>
        </w:rPr>
        <w:t>。</w:t>
      </w:r>
    </w:p>
    <w:p>
      <w:pPr>
        <w:pStyle w:val="3"/>
        <w:rPr>
          <w:rFonts w:hint="eastAsia"/>
          <w:spacing w:val="2"/>
          <w:lang w:eastAsia="zh-CN"/>
        </w:rPr>
      </w:pPr>
      <w:bookmarkStart w:id="26" w:name="_Toc27596"/>
    </w:p>
    <w:p>
      <w:pPr>
        <w:rPr>
          <w:rFonts w:hint="eastAsia"/>
          <w:spacing w:val="2"/>
          <w:lang w:eastAsia="zh-CN"/>
        </w:rPr>
      </w:pPr>
    </w:p>
    <w:p>
      <w:pPr>
        <w:pStyle w:val="2"/>
        <w:rPr>
          <w:rFonts w:hint="eastAsia"/>
          <w:spacing w:val="2"/>
          <w:lang w:eastAsia="zh-CN"/>
        </w:rPr>
      </w:pPr>
    </w:p>
    <w:p>
      <w:pPr>
        <w:pStyle w:val="2"/>
        <w:rPr>
          <w:rFonts w:hint="eastAsia"/>
          <w:spacing w:val="2"/>
          <w:lang w:eastAsia="zh-CN"/>
        </w:rPr>
      </w:pPr>
    </w:p>
    <w:p>
      <w:pPr>
        <w:pStyle w:val="2"/>
        <w:rPr>
          <w:rFonts w:hint="eastAsia"/>
          <w:spacing w:val="2"/>
          <w:lang w:eastAsia="zh-CN"/>
        </w:rPr>
      </w:pPr>
    </w:p>
    <w:p>
      <w:pPr>
        <w:pStyle w:val="2"/>
        <w:rPr>
          <w:rFonts w:hint="eastAsia"/>
          <w:spacing w:val="2"/>
          <w:lang w:eastAsia="zh-CN"/>
        </w:rPr>
      </w:pPr>
    </w:p>
    <w:p>
      <w:pPr>
        <w:pStyle w:val="2"/>
        <w:rPr>
          <w:rFonts w:hint="eastAsia"/>
          <w:spacing w:val="2"/>
          <w:lang w:eastAsia="zh-CN"/>
        </w:rPr>
      </w:pPr>
    </w:p>
    <w:p>
      <w:pPr>
        <w:pStyle w:val="2"/>
        <w:rPr>
          <w:rFonts w:hint="eastAsia"/>
          <w:spacing w:val="2"/>
          <w:lang w:eastAsia="zh-CN"/>
        </w:rPr>
      </w:pPr>
    </w:p>
    <w:p>
      <w:pPr>
        <w:pStyle w:val="2"/>
        <w:rPr>
          <w:rFonts w:hint="eastAsia"/>
          <w:spacing w:val="2"/>
          <w:lang w:eastAsia="zh-CN"/>
        </w:rPr>
      </w:pPr>
    </w:p>
    <w:p>
      <w:pPr>
        <w:rPr>
          <w:rFonts w:hint="eastAsia"/>
          <w:lang w:eastAsia="zh-CN"/>
        </w:rPr>
      </w:pPr>
    </w:p>
    <w:p>
      <w:pPr>
        <w:pStyle w:val="3"/>
        <w:rPr>
          <w:lang w:eastAsia="zh-CN"/>
        </w:rPr>
      </w:pPr>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26"/>
    </w:p>
    <w:p>
      <w:pPr>
        <w:spacing w:before="6" w:line="360" w:lineRule="auto"/>
        <w:rPr>
          <w:color w:val="FF0000"/>
          <w:sz w:val="13"/>
          <w:szCs w:val="13"/>
          <w:lang w:eastAsia="zh-CN"/>
        </w:rPr>
      </w:pPr>
    </w:p>
    <w:p>
      <w:pPr>
        <w:pStyle w:val="5"/>
        <w:ind w:firstLine="480"/>
        <w:rPr>
          <w:rFonts w:ascii="Cambria" w:hAnsi="Cambria" w:cs="Cambria"/>
          <w:szCs w:val="24"/>
          <w:lang w:eastAsia="zh-CN"/>
        </w:rPr>
      </w:pPr>
      <w:bookmarkStart w:id="27" w:name="_Toc25538"/>
      <w:r>
        <w:rPr>
          <w:rFonts w:hint="eastAsia" w:ascii="Cambria" w:hAnsi="Cambria" w:cs="Cambria"/>
          <w:szCs w:val="24"/>
          <w:lang w:eastAsia="zh-CN"/>
        </w:rPr>
        <w:t>6.1 质量投诉</w:t>
      </w:r>
      <w:bookmarkEnd w:id="27"/>
    </w:p>
    <w:p>
      <w:pPr>
        <w:pStyle w:val="31"/>
        <w:spacing w:line="360" w:lineRule="auto"/>
        <w:ind w:firstLine="480"/>
        <w:rPr>
          <w:rFonts w:ascii="宋体" w:hAnsi="宋体"/>
          <w:color w:val="auto"/>
        </w:rPr>
      </w:pPr>
      <w:r>
        <w:rPr>
          <w:rFonts w:hint="eastAsia" w:ascii="宋体" w:hAnsi="宋体"/>
          <w:color w:val="auto"/>
        </w:rPr>
        <w:t>为加强和完善售后服务环节，提升售后服务环节对公司经营品牌形象的正面影响，维护终端市场形象及客户的权益，规范</w:t>
      </w:r>
      <w:r>
        <w:rPr>
          <w:rFonts w:hint="eastAsia" w:ascii="宋体" w:hAnsi="宋体"/>
          <w:color w:val="auto"/>
          <w:lang w:eastAsia="zh-CN"/>
        </w:rPr>
        <w:t>油泵</w:t>
      </w:r>
      <w:r>
        <w:rPr>
          <w:rFonts w:hint="eastAsia" w:ascii="宋体" w:hAnsi="宋体"/>
          <w:color w:val="auto"/>
        </w:rPr>
        <w:t>售后服务人员的薪酬考核制度，提高售后服务人员的工作积极性，特制定《</w:t>
      </w:r>
      <w:r>
        <w:rPr>
          <w:rFonts w:hint="eastAsia" w:ascii="宋体" w:hAnsi="宋体"/>
          <w:color w:val="auto"/>
          <w:lang w:eastAsia="zh-CN"/>
        </w:rPr>
        <w:t>售后服务规定</w:t>
      </w:r>
      <w:r>
        <w:rPr>
          <w:rFonts w:hint="eastAsia" w:ascii="宋体" w:hAnsi="宋体"/>
          <w:color w:val="auto"/>
        </w:rPr>
        <w:t>》。</w:t>
      </w:r>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当设备发生故障时，公司提供全方位的售后服务，产品出厂后由售后服务部门跟踪。客户在产品生产过程中如有技术服务需求，可通过各种通讯方式告知制造企业，制造企业 24 小时全天候接受咨询，或根据客户的需求及时派遣技术人员至客户公司进行现场技术支持。</w:t>
      </w:r>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售后服务的安排，需根据实际情况，维修前由服务区域业务员填写《售后服务记录表》,经销售总监审核，营销副总监批准，实施服务。（若由于产品损坏需要更换配件或因生产原因造成后续问题，需经销售副总签署意见；若由于产品质量引起且需到现场解决的服务，需经品管部签署意见，然后实施服务）。</w:t>
      </w:r>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专职售后服务人员的指派需本着就近、顺道、技能配合和人员统一调配的原则。具体舍后服务见下图所示：</w:t>
      </w:r>
    </w:p>
    <w:p>
      <w:pPr>
        <w:pStyle w:val="45"/>
        <w:spacing w:line="360" w:lineRule="auto"/>
        <w:ind w:left="360" w:firstLine="0" w:firstLineChars="0"/>
        <w:jc w:val="center"/>
        <w:rPr>
          <w:rFonts w:cs="黑体" w:asciiTheme="minorEastAsia" w:hAnsiTheme="minorEastAsia" w:eastAsiaTheme="minorEastAsia"/>
          <w:b/>
          <w:bCs/>
          <w:szCs w:val="21"/>
        </w:rPr>
      </w:pPr>
      <w:r>
        <w:rPr>
          <w:rFonts w:hint="eastAsia" w:cs="黑体" w:asciiTheme="minorEastAsia" w:hAnsiTheme="minorEastAsia" w:eastAsiaTheme="minorEastAsia"/>
          <w:b/>
          <w:bCs/>
          <w:szCs w:val="21"/>
          <w:lang w:eastAsia="zh-CN"/>
        </w:rPr>
        <w:t>图6.1-01</w:t>
      </w:r>
      <w:r>
        <w:rPr>
          <w:rFonts w:hint="eastAsia" w:cs="黑体" w:asciiTheme="minorEastAsia" w:hAnsiTheme="minorEastAsia" w:eastAsiaTheme="minorEastAsia"/>
          <w:b/>
          <w:bCs/>
          <w:szCs w:val="21"/>
        </w:rPr>
        <w:t>顾客抱怨和投诉处理流程图</w:t>
      </w:r>
    </w:p>
    <w:p>
      <w:pPr>
        <w:spacing w:line="360" w:lineRule="auto"/>
        <w:ind w:firstLine="422" w:firstLineChars="200"/>
        <w:jc w:val="center"/>
        <w:rPr>
          <w:rFonts w:hint="eastAsia" w:ascii="宋体" w:hAnsi="宋体"/>
          <w:b/>
          <w:sz w:val="21"/>
          <w:szCs w:val="21"/>
          <w:highlight w:val="yellow"/>
          <w:lang w:val="en-US" w:eastAsia="zh-CN"/>
        </w:rPr>
      </w:pPr>
    </w:p>
    <w:p>
      <w:pPr>
        <w:spacing w:line="360" w:lineRule="auto"/>
        <w:ind w:firstLine="440" w:firstLineChars="200"/>
        <w:jc w:val="center"/>
        <w:rPr>
          <w:rFonts w:hint="default" w:ascii="宋体" w:hAnsi="宋体"/>
          <w:b/>
          <w:sz w:val="21"/>
          <w:szCs w:val="21"/>
          <w:highlight w:val="yellow"/>
          <w:lang w:val="en-US" w:eastAsia="zh-CN"/>
        </w:rPr>
      </w:pPr>
      <w:r>
        <w:drawing>
          <wp:inline distT="0" distB="0" distL="0" distR="0">
            <wp:extent cx="4295140" cy="4337050"/>
            <wp:effectExtent l="0" t="0" r="10160" b="63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5" cstate="print"/>
                    <a:srcRect/>
                    <a:stretch>
                      <a:fillRect/>
                    </a:stretch>
                  </pic:blipFill>
                  <pic:spPr>
                    <a:xfrm>
                      <a:off x="0" y="0"/>
                      <a:ext cx="4295775" cy="4337050"/>
                    </a:xfrm>
                    <a:prstGeom prst="rect">
                      <a:avLst/>
                    </a:prstGeom>
                    <a:noFill/>
                    <a:ln w="9525">
                      <a:noFill/>
                      <a:miter lim="800000"/>
                      <a:headEnd/>
                      <a:tailEnd/>
                    </a:ln>
                  </pic:spPr>
                </pic:pic>
              </a:graphicData>
            </a:graphic>
          </wp:inline>
        </w:drawing>
      </w:r>
    </w:p>
    <w:p>
      <w:pPr>
        <w:spacing w:line="360" w:lineRule="auto"/>
        <w:ind w:firstLine="480" w:firstLineChars="200"/>
        <w:jc w:val="center"/>
        <w:rPr>
          <w:rFonts w:ascii="宋体" w:hAnsi="宋体"/>
          <w:sz w:val="24"/>
          <w:szCs w:val="24"/>
          <w:lang w:eastAsia="zh-CN"/>
        </w:rPr>
      </w:pPr>
    </w:p>
    <w:p>
      <w:pPr>
        <w:pStyle w:val="31"/>
        <w:spacing w:line="360" w:lineRule="auto"/>
        <w:ind w:firstLine="480"/>
        <w:rPr>
          <w:rFonts w:ascii="宋体" w:hAnsi="宋体"/>
          <w:color w:val="auto"/>
        </w:rPr>
      </w:pPr>
      <w:r>
        <w:rPr>
          <w:rFonts w:hint="eastAsia" w:ascii="宋体" w:hAnsi="宋体"/>
          <w:color w:val="auto"/>
        </w:rPr>
        <w:t>最大限度减少顾客不满和业务流失。营销部</w:t>
      </w:r>
      <w:r>
        <w:rPr>
          <w:rFonts w:ascii="宋体" w:hAnsi="宋体"/>
          <w:color w:val="auto"/>
        </w:rPr>
        <w:t>负责接收、收集顾客的抱怨/投诉，将顾客的意见记录，通过《纠正措施表》</w:t>
      </w:r>
      <w:r>
        <w:rPr>
          <w:rFonts w:hint="eastAsia" w:ascii="宋体" w:hAnsi="宋体"/>
          <w:color w:val="auto"/>
        </w:rPr>
        <w:t>或顾客专用格式，</w:t>
      </w:r>
      <w:r>
        <w:rPr>
          <w:rFonts w:ascii="宋体" w:hAnsi="宋体"/>
          <w:color w:val="auto"/>
        </w:rPr>
        <w:t>将相关信息传递到</w:t>
      </w:r>
      <w:r>
        <w:rPr>
          <w:rFonts w:hint="eastAsia" w:ascii="宋体" w:hAnsi="宋体"/>
          <w:color w:val="auto"/>
          <w:lang w:eastAsia="zh-CN"/>
        </w:rPr>
        <w:t>品管部</w:t>
      </w:r>
      <w:r>
        <w:rPr>
          <w:rFonts w:ascii="宋体" w:hAnsi="宋体"/>
          <w:color w:val="auto"/>
        </w:rPr>
        <w:t>，质</w:t>
      </w:r>
      <w:r>
        <w:rPr>
          <w:rFonts w:hint="eastAsia" w:ascii="宋体" w:hAnsi="宋体"/>
          <w:color w:val="auto"/>
        </w:rPr>
        <w:t>量部门</w:t>
      </w:r>
      <w:r>
        <w:rPr>
          <w:rFonts w:ascii="宋体" w:hAnsi="宋体"/>
          <w:color w:val="auto"/>
        </w:rPr>
        <w:t>及时组织相关人员进行分析/试验/评审。</w:t>
      </w:r>
    </w:p>
    <w:p>
      <w:pPr>
        <w:pStyle w:val="31"/>
        <w:spacing w:line="360" w:lineRule="auto"/>
        <w:ind w:firstLine="480"/>
        <w:rPr>
          <w:rFonts w:ascii="宋体" w:hAnsi="宋体"/>
          <w:color w:val="auto"/>
        </w:rPr>
      </w:pPr>
      <w:r>
        <w:rPr>
          <w:rFonts w:hint="eastAsia" w:ascii="宋体" w:hAnsi="宋体"/>
          <w:color w:val="auto"/>
        </w:rPr>
        <w:t>在进行分析的同时，遏制可疑不合格品。接到顾客投诉后，根据投诉信息，</w:t>
      </w:r>
      <w:r>
        <w:rPr>
          <w:rFonts w:hint="eastAsia" w:ascii="宋体" w:hAnsi="宋体"/>
          <w:color w:val="auto"/>
          <w:lang w:eastAsia="zh-CN"/>
        </w:rPr>
        <w:t>品管部</w:t>
      </w:r>
      <w:r>
        <w:rPr>
          <w:rFonts w:hint="eastAsia" w:ascii="宋体" w:hAnsi="宋体"/>
          <w:color w:val="auto"/>
        </w:rPr>
        <w:t>立即组织相关人员对可疑产品进行遏制：</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hint="eastAsia" w:ascii="宋体" w:hAnsi="宋体"/>
          <w:color w:val="auto"/>
        </w:rPr>
        <w:t>遏制的可疑产品包括在制品，成品仓库，发运的在途品，外库存，涉及到外协件和原材料的应包含原材料库和相应的分供方；</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2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②</w:t>
      </w:r>
      <w:r>
        <w:rPr>
          <w:rFonts w:ascii="宋体" w:hAnsi="宋体"/>
          <w:color w:val="auto"/>
        </w:rPr>
        <w:fldChar w:fldCharType="end"/>
      </w:r>
      <w:r>
        <w:rPr>
          <w:rFonts w:hint="eastAsia" w:ascii="宋体" w:hAnsi="宋体"/>
          <w:color w:val="auto"/>
          <w:lang w:eastAsia="zh-CN"/>
        </w:rPr>
        <w:t>品管部</w:t>
      </w:r>
      <w:r>
        <w:rPr>
          <w:rFonts w:hint="eastAsia" w:ascii="宋体" w:hAnsi="宋体"/>
          <w:color w:val="auto"/>
        </w:rPr>
        <w:t>及相关人员根据异常情况，确定临时措施，对遏制品进行检查、返工、返修或者报废处理；必要时，填写《品质异常通知单》；</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3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③</w:t>
      </w:r>
      <w:r>
        <w:rPr>
          <w:rFonts w:ascii="宋体" w:hAnsi="宋体"/>
          <w:color w:val="auto"/>
        </w:rPr>
        <w:fldChar w:fldCharType="end"/>
      </w:r>
      <w:r>
        <w:rPr>
          <w:rFonts w:hint="eastAsia" w:ascii="宋体" w:hAnsi="宋体"/>
          <w:color w:val="auto"/>
        </w:rPr>
        <w:t>在48小时之内把相关信息返回到顾客，若顾客有特殊要求，按顾客要求填写相关表格。</w:t>
      </w:r>
    </w:p>
    <w:p>
      <w:pPr>
        <w:pStyle w:val="31"/>
        <w:spacing w:line="360" w:lineRule="auto"/>
        <w:ind w:firstLine="480"/>
        <w:rPr>
          <w:rFonts w:ascii="宋体" w:hAnsi="宋体"/>
          <w:color w:val="auto"/>
        </w:rPr>
      </w:pPr>
      <w:r>
        <w:rPr>
          <w:rFonts w:ascii="宋体" w:hAnsi="宋体"/>
          <w:color w:val="auto"/>
        </w:rPr>
        <w:t>若分析确认的结果是本公司的制造质量问题，</w:t>
      </w:r>
      <w:r>
        <w:rPr>
          <w:rFonts w:hint="eastAsia" w:ascii="宋体" w:hAnsi="宋体"/>
          <w:color w:val="auto"/>
          <w:lang w:eastAsia="zh-CN"/>
        </w:rPr>
        <w:t>品管部</w:t>
      </w:r>
      <w:r>
        <w:rPr>
          <w:rFonts w:ascii="宋体" w:hAnsi="宋体"/>
          <w:color w:val="auto"/>
        </w:rPr>
        <w:t>组织相关人员分析原因，以确定根本原因，提出纠正措施并组织实施，适当采用与风险相适应的防错技术</w:t>
      </w:r>
      <w:r>
        <w:rPr>
          <w:rFonts w:hint="eastAsia" w:ascii="宋体" w:hAnsi="宋体"/>
          <w:color w:val="auto"/>
        </w:rPr>
        <w:t>。</w:t>
      </w:r>
      <w:r>
        <w:rPr>
          <w:rFonts w:hint="eastAsia" w:ascii="宋体" w:hAnsi="宋体"/>
          <w:color w:val="auto"/>
          <w:lang w:eastAsia="zh-CN"/>
        </w:rPr>
        <w:t>品管部</w:t>
      </w:r>
      <w:r>
        <w:rPr>
          <w:rFonts w:ascii="宋体" w:hAnsi="宋体"/>
          <w:color w:val="auto"/>
        </w:rPr>
        <w:t>评价纠正措施的有效性，防止问题的再次发生。若顾客有指定的格式</w:t>
      </w:r>
      <w:r>
        <w:rPr>
          <w:rFonts w:hint="eastAsia" w:ascii="宋体" w:hAnsi="宋体"/>
          <w:color w:val="auto"/>
        </w:rPr>
        <w:t>（如8D等）</w:t>
      </w:r>
      <w:r>
        <w:rPr>
          <w:rFonts w:ascii="宋体" w:hAnsi="宋体"/>
          <w:color w:val="auto"/>
        </w:rPr>
        <w:t>，则采用顾客指定的格式</w:t>
      </w:r>
      <w:r>
        <w:rPr>
          <w:rFonts w:hint="eastAsia" w:ascii="宋体" w:hAnsi="宋体"/>
          <w:color w:val="auto"/>
        </w:rPr>
        <w:t>。</w:t>
      </w:r>
    </w:p>
    <w:p>
      <w:pPr>
        <w:pStyle w:val="31"/>
        <w:spacing w:line="360" w:lineRule="auto"/>
        <w:ind w:firstLine="480"/>
        <w:rPr>
          <w:rFonts w:ascii="宋体" w:hAnsi="宋体"/>
          <w:color w:val="auto"/>
        </w:rPr>
      </w:pPr>
      <w:r>
        <w:rPr>
          <w:rFonts w:hint="eastAsia" w:ascii="宋体" w:hAnsi="宋体"/>
          <w:color w:val="auto"/>
        </w:rPr>
        <w:t>投诉信息的积累、分析。营销部</w:t>
      </w:r>
      <w:r>
        <w:rPr>
          <w:rFonts w:ascii="宋体" w:hAnsi="宋体"/>
          <w:color w:val="auto"/>
        </w:rPr>
        <w:t>、</w:t>
      </w:r>
      <w:r>
        <w:rPr>
          <w:rFonts w:hint="eastAsia" w:ascii="宋体" w:hAnsi="宋体"/>
          <w:color w:val="auto"/>
          <w:lang w:eastAsia="zh-CN"/>
        </w:rPr>
        <w:t>品管部</w:t>
      </w:r>
      <w:r>
        <w:rPr>
          <w:rFonts w:hint="eastAsia" w:ascii="宋体" w:hAnsi="宋体"/>
          <w:color w:val="auto"/>
        </w:rPr>
        <w:t>门</w:t>
      </w:r>
      <w:r>
        <w:rPr>
          <w:rFonts w:ascii="宋体" w:hAnsi="宋体"/>
          <w:color w:val="auto"/>
        </w:rPr>
        <w:t>负责定期对顾客投诉情况进行统计</w:t>
      </w:r>
      <w:r>
        <w:rPr>
          <w:rFonts w:hint="eastAsia" w:ascii="宋体" w:hAnsi="宋体"/>
          <w:color w:val="auto"/>
        </w:rPr>
        <w:t>。</w:t>
      </w:r>
      <w:r>
        <w:rPr>
          <w:rFonts w:hint="eastAsia" w:ascii="宋体" w:hAnsi="宋体"/>
          <w:color w:val="auto"/>
          <w:lang w:eastAsia="zh-CN"/>
        </w:rPr>
        <w:t>品管部</w:t>
      </w:r>
      <w:r>
        <w:rPr>
          <w:rFonts w:hint="eastAsia" w:ascii="宋体" w:hAnsi="宋体"/>
          <w:color w:val="auto"/>
        </w:rPr>
        <w:t>负责对顾客反馈回的《品质异常通知单》、《售后服务客户反馈表》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客抱怨。</w:t>
      </w:r>
    </w:p>
    <w:p>
      <w:pPr>
        <w:pStyle w:val="5"/>
        <w:ind w:firstLine="480"/>
        <w:rPr>
          <w:rFonts w:ascii="Cambria" w:hAnsi="Cambria" w:cs="Cambria"/>
          <w:szCs w:val="24"/>
          <w:lang w:eastAsia="zh-CN"/>
        </w:rPr>
      </w:pPr>
      <w:bookmarkStart w:id="28" w:name="_Toc28364"/>
      <w:r>
        <w:rPr>
          <w:rFonts w:hint="eastAsia" w:ascii="Cambria" w:hAnsi="Cambria" w:cs="Cambria"/>
          <w:szCs w:val="24"/>
          <w:lang w:eastAsia="zh-CN"/>
        </w:rPr>
        <w:t>6.2 质量风险监测</w:t>
      </w:r>
      <w:bookmarkEnd w:id="28"/>
    </w:p>
    <w:p>
      <w:pPr>
        <w:pStyle w:val="7"/>
        <w:spacing w:line="360" w:lineRule="auto"/>
        <w:ind w:left="0" w:right="376" w:rightChars="171" w:firstLine="289"/>
        <w:jc w:val="both"/>
        <w:rPr>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pPr>
        <w:pStyle w:val="7"/>
        <w:spacing w:before="41" w:line="360" w:lineRule="auto"/>
        <w:ind w:left="0" w:right="266" w:rightChars="121" w:firstLine="289"/>
        <w:jc w:val="both"/>
        <w:rPr>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核。由车间主任、班组长组成的按月、周、天三个级别对各生产工厂的生产过程、工艺纪律执行情况等进行监督检查，对质量监督检查所发现问题点的整改情况进行督促，确保其及时</w:t>
      </w:r>
      <w:r>
        <w:rPr>
          <w:kern w:val="2"/>
          <w:sz w:val="24"/>
          <w:szCs w:val="24"/>
          <w:lang w:eastAsia="zh-CN"/>
        </w:rPr>
        <w:t xml:space="preserve"> </w:t>
      </w:r>
      <w:r>
        <w:rPr>
          <w:rFonts w:hint="eastAsia"/>
          <w:kern w:val="2"/>
          <w:sz w:val="24"/>
          <w:szCs w:val="24"/>
          <w:lang w:eastAsia="zh-CN"/>
        </w:rPr>
        <w:t>有效的整改。</w:t>
      </w:r>
    </w:p>
    <w:p>
      <w:pPr>
        <w:adjustRightInd w:val="0"/>
        <w:snapToGrid w:val="0"/>
        <w:spacing w:line="360" w:lineRule="auto"/>
        <w:ind w:firstLine="480" w:firstLineChars="200"/>
        <w:rPr>
          <w:rFonts w:ascii="宋体"/>
          <w:bCs/>
          <w:sz w:val="24"/>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w:t>
      </w:r>
      <w:r>
        <w:rPr>
          <w:rFonts w:hint="eastAsia" w:ascii="宋体" w:hAnsi="宋体"/>
          <w:bCs/>
          <w:sz w:val="24"/>
        </w:rPr>
        <w:t>为有效保证产品质量，公司十分重视检测分析仪器设施的配置和实验室的建立。完善的实验和检测设备能够为满足中心对新产品、新技术的开发要求，以及对化工材料验证、工艺过程控制、产品物理化学性能指标的分析检测的需求。</w:t>
      </w:r>
    </w:p>
    <w:p>
      <w:pPr>
        <w:pStyle w:val="7"/>
        <w:spacing w:before="42" w:line="360" w:lineRule="auto"/>
        <w:ind w:left="0" w:right="374" w:firstLine="554" w:firstLineChars="231"/>
        <w:jc w:val="both"/>
        <w:rPr>
          <w:rFonts w:asciiTheme="minorEastAsia" w:hAnsiTheme="minorEastAsia"/>
          <w:bCs/>
          <w:sz w:val="24"/>
          <w:szCs w:val="24"/>
          <w:highlight w:val="yellow"/>
          <w:lang w:eastAsia="zh-CN"/>
        </w:rPr>
      </w:pPr>
      <w:r>
        <w:rPr>
          <w:rFonts w:hint="eastAsia"/>
          <w:bCs/>
          <w:sz w:val="24"/>
          <w:lang w:eastAsia="zh-CN"/>
        </w:rPr>
        <w:t>研发中心</w:t>
      </w:r>
      <w:r>
        <w:rPr>
          <w:rFonts w:hint="eastAsia" w:ascii="宋体" w:hAnsi="宋体"/>
          <w:bCs/>
          <w:sz w:val="24"/>
        </w:rPr>
        <w:t>拥有拥有各类试验设备</w:t>
      </w:r>
      <w:r>
        <w:rPr>
          <w:rFonts w:hint="eastAsia"/>
          <w:bCs/>
          <w:sz w:val="24"/>
          <w:lang w:val="en-US" w:eastAsia="zh-CN"/>
        </w:rPr>
        <w:t>5</w:t>
      </w:r>
      <w:r>
        <w:rPr>
          <w:rFonts w:hint="eastAsia" w:ascii="宋体" w:hAnsi="宋体"/>
          <w:bCs/>
          <w:sz w:val="24"/>
        </w:rPr>
        <w:t>0多台套，包括配备毛革的摩擦色牢度、收缩温度、撕裂力、pH值的检测设备，保证了计量检测结果准确。</w:t>
      </w:r>
    </w:p>
    <w:p>
      <w:pPr>
        <w:pStyle w:val="5"/>
        <w:ind w:firstLine="480"/>
        <w:rPr>
          <w:rFonts w:ascii="Cambria" w:hAnsi="Cambria" w:cs="Cambria"/>
          <w:szCs w:val="24"/>
          <w:lang w:eastAsia="zh-CN"/>
        </w:rPr>
      </w:pPr>
      <w:bookmarkStart w:id="29" w:name="_Toc7451"/>
      <w:r>
        <w:rPr>
          <w:rFonts w:hint="eastAsia" w:ascii="Cambria" w:hAnsi="Cambria" w:cs="Cambria"/>
          <w:szCs w:val="24"/>
          <w:lang w:eastAsia="zh-CN"/>
        </w:rPr>
        <w:t>6.3 应急管理</w:t>
      </w:r>
      <w:bookmarkEnd w:id="29"/>
    </w:p>
    <w:p>
      <w:pPr>
        <w:adjustRightInd w:val="0"/>
        <w:snapToGrid w:val="0"/>
        <w:spacing w:line="360" w:lineRule="auto"/>
        <w:ind w:firstLine="480" w:firstLineChars="200"/>
        <w:rPr>
          <w:rFonts w:asciiTheme="minorEastAsia" w:hAnsiTheme="minorEastAsia"/>
          <w:bCs/>
          <w:sz w:val="24"/>
          <w:szCs w:val="24"/>
          <w:lang w:eastAsia="zh-CN"/>
        </w:rPr>
      </w:pPr>
      <w:r>
        <w:rPr>
          <w:rFonts w:hint="eastAsia" w:asciiTheme="minorEastAsia" w:hAnsiTheme="minorEastAsia"/>
          <w:bCs/>
          <w:sz w:val="24"/>
          <w:szCs w:val="24"/>
          <w:lang w:eastAsia="zh-CN"/>
        </w:rPr>
        <w:t>公司每年举行消防演练和各种灾害应急演练。公司制订了《配电房火灾、爆炸应急预案》等</w:t>
      </w:r>
      <w:r>
        <w:rPr>
          <w:rFonts w:asciiTheme="minorEastAsia" w:hAnsiTheme="minorEastAsia"/>
          <w:bCs/>
          <w:sz w:val="24"/>
          <w:szCs w:val="24"/>
          <w:lang w:eastAsia="zh-CN"/>
        </w:rPr>
        <w:t>应急预案</w:t>
      </w:r>
      <w:r>
        <w:rPr>
          <w:rFonts w:hint="eastAsia" w:asciiTheme="minorEastAsia" w:hAnsiTheme="minorEastAsia"/>
          <w:bCs/>
          <w:sz w:val="24"/>
          <w:szCs w:val="24"/>
          <w:lang w:eastAsia="zh-CN"/>
        </w:rPr>
        <w:t>、《触电事件应急预案》、《关键设备故障应急预案》等应急处置方案等，对火灾、机械、触电等均有相应的应急措施，并成立了应急指挥中心和应急救援专业组。</w:t>
      </w:r>
      <w:bookmarkStart w:id="30" w:name="_Ref317150656"/>
    </w:p>
    <w:p>
      <w:pPr>
        <w:pStyle w:val="6"/>
        <w:spacing w:afterLines="50"/>
        <w:jc w:val="center"/>
        <w:rPr>
          <w:rFonts w:hint="eastAsia" w:eastAsia="宋体" w:asciiTheme="minorEastAsia" w:hAnsiTheme="minorEastAsia"/>
          <w:b/>
          <w:bCs/>
          <w:kern w:val="0"/>
          <w:sz w:val="21"/>
          <w:szCs w:val="21"/>
          <w:lang w:val="en-US" w:eastAsia="zh-CN"/>
        </w:rPr>
      </w:pPr>
      <w:r>
        <w:rPr>
          <w:rFonts w:hint="eastAsia" w:eastAsia="宋体" w:asciiTheme="minorEastAsia" w:hAnsiTheme="minorEastAsia"/>
          <w:b/>
          <w:bCs/>
          <w:kern w:val="0"/>
          <w:sz w:val="21"/>
          <w:szCs w:val="21"/>
        </w:rPr>
        <w:t>图6.3-01  火灾应急演练</w:t>
      </w:r>
      <w:r>
        <w:rPr>
          <w:rFonts w:hint="eastAsia" w:eastAsia="宋体" w:asciiTheme="minorEastAsia" w:hAnsiTheme="minorEastAsia"/>
          <w:b/>
          <w:bCs/>
          <w:kern w:val="0"/>
          <w:sz w:val="21"/>
          <w:szCs w:val="21"/>
          <w:lang w:val="en-US" w:eastAsia="zh-CN"/>
        </w:rPr>
        <w:t>现场</w:t>
      </w:r>
    </w:p>
    <w:p>
      <w:pPr>
        <w:jc w:val="center"/>
        <w:rPr>
          <w:rFonts w:hint="default"/>
          <w:lang w:val="en-US" w:eastAsia="zh-CN"/>
        </w:rPr>
      </w:pPr>
      <w:r>
        <w:rPr>
          <w:rFonts w:hint="eastAsia"/>
          <w:lang w:val="en-US" w:eastAsia="zh-CN"/>
        </w:rPr>
        <w:drawing>
          <wp:inline distT="0" distB="0" distL="114300" distR="114300">
            <wp:extent cx="2790190" cy="1964690"/>
            <wp:effectExtent l="0" t="0" r="3810" b="3810"/>
            <wp:docPr id="11" name="图片 11" descr="1634882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4882596(1)"/>
                    <pic:cNvPicPr>
                      <a:picLocks noChangeAspect="1"/>
                    </pic:cNvPicPr>
                  </pic:nvPicPr>
                  <pic:blipFill>
                    <a:blip r:embed="rId16"/>
                    <a:stretch>
                      <a:fillRect/>
                    </a:stretch>
                  </pic:blipFill>
                  <pic:spPr>
                    <a:xfrm>
                      <a:off x="0" y="0"/>
                      <a:ext cx="2790190" cy="196469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881630" cy="1959610"/>
            <wp:effectExtent l="0" t="0" r="1270" b="8890"/>
            <wp:docPr id="9" name="图片 9" descr="1634882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4882569(1)"/>
                    <pic:cNvPicPr>
                      <a:picLocks noChangeAspect="1"/>
                    </pic:cNvPicPr>
                  </pic:nvPicPr>
                  <pic:blipFill>
                    <a:blip r:embed="rId17"/>
                    <a:stretch>
                      <a:fillRect/>
                    </a:stretch>
                  </pic:blipFill>
                  <pic:spPr>
                    <a:xfrm>
                      <a:off x="0" y="0"/>
                      <a:ext cx="2881630" cy="1959610"/>
                    </a:xfrm>
                    <a:prstGeom prst="rect">
                      <a:avLst/>
                    </a:prstGeom>
                  </pic:spPr>
                </pic:pic>
              </a:graphicData>
            </a:graphic>
          </wp:inline>
        </w:drawing>
      </w:r>
    </w:p>
    <w:bookmarkEnd w:id="30"/>
    <w:p>
      <w:pPr>
        <w:pStyle w:val="3"/>
        <w:rPr>
          <w:rFonts w:hint="eastAsia"/>
          <w:lang w:eastAsia="zh-CN"/>
        </w:rPr>
      </w:pPr>
      <w:bookmarkStart w:id="31" w:name="_Toc27484"/>
      <w:r>
        <w:rPr>
          <w:rFonts w:hint="eastAsia"/>
          <w:lang w:val="en-US" w:eastAsia="zh-CN"/>
        </w:rPr>
        <w:t xml:space="preserve">                                          </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3"/>
        <w:rPr>
          <w:lang w:eastAsia="zh-CN"/>
        </w:rPr>
      </w:pPr>
      <w:r>
        <w:rPr>
          <w:rFonts w:hint="eastAsia"/>
          <w:lang w:eastAsia="zh-CN"/>
        </w:rPr>
        <w:t>结</w:t>
      </w:r>
      <w:r>
        <w:rPr>
          <w:lang w:eastAsia="zh-CN"/>
        </w:rPr>
        <w:tab/>
      </w:r>
      <w:r>
        <w:rPr>
          <w:rFonts w:hint="eastAsia"/>
          <w:lang w:eastAsia="zh-CN"/>
        </w:rPr>
        <w:t>语</w:t>
      </w:r>
    </w:p>
    <w:p>
      <w:pPr>
        <w:spacing w:before="7" w:line="360" w:lineRule="auto"/>
        <w:rPr>
          <w:sz w:val="10"/>
          <w:szCs w:val="10"/>
          <w:lang w:eastAsia="zh-CN"/>
        </w:rPr>
      </w:pPr>
    </w:p>
    <w:p>
      <w:pPr>
        <w:pStyle w:val="7"/>
        <w:spacing w:line="360" w:lineRule="auto"/>
        <w:ind w:right="360" w:firstLine="647"/>
        <w:jc w:val="both"/>
        <w:rPr>
          <w:rFonts w:cs="宋体"/>
          <w:lang w:eastAsia="zh-CN"/>
        </w:rPr>
      </w:pPr>
    </w:p>
    <w:p>
      <w:pPr>
        <w:pStyle w:val="7"/>
        <w:spacing w:line="360" w:lineRule="auto"/>
        <w:ind w:right="360" w:firstLine="647"/>
        <w:jc w:val="both"/>
        <w:rPr>
          <w:spacing w:val="2"/>
          <w:lang w:eastAsia="zh-CN"/>
        </w:rPr>
      </w:pPr>
      <w:r>
        <w:rPr>
          <w:rFonts w:cs="宋体"/>
          <w:lang w:eastAsia="zh-CN"/>
        </w:rPr>
        <w:t>20</w:t>
      </w:r>
      <w:r>
        <w:rPr>
          <w:rFonts w:hint="eastAsia" w:cs="宋体"/>
          <w:lang w:val="en-US" w:eastAsia="zh-CN"/>
        </w:rPr>
        <w:t>21</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pPr>
        <w:pStyle w:val="7"/>
        <w:spacing w:before="37" w:line="360" w:lineRule="auto"/>
        <w:ind w:right="491" w:firstLine="520"/>
        <w:jc w:val="both"/>
        <w:rPr>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w:t>
      </w:r>
      <w:r>
        <w:rPr>
          <w:spacing w:val="2"/>
          <w:lang w:eastAsia="zh-CN"/>
        </w:rPr>
        <w:t xml:space="preserve"> </w:t>
      </w:r>
      <w:r>
        <w:rPr>
          <w:rFonts w:hint="eastAsia"/>
          <w:spacing w:val="2"/>
          <w:lang w:eastAsia="zh-CN"/>
        </w:rPr>
        <w:t>机制，科学实施，常抓不懈。公司将夯实质量诚信基础，走质量效益之路，为成为提供高效换热解决方案及相关产品的世界级优秀企业而努力</w:t>
      </w:r>
      <w:r>
        <w:rPr>
          <w:rFonts w:hint="eastAsia"/>
          <w:w w:val="95"/>
          <w:lang w:eastAsia="zh-CN"/>
        </w:rPr>
        <w:t>。</w:t>
      </w:r>
    </w:p>
    <w:p>
      <w:pPr>
        <w:pStyle w:val="7"/>
        <w:spacing w:before="37" w:line="360" w:lineRule="auto"/>
        <w:ind w:right="491" w:firstLine="520"/>
        <w:jc w:val="both"/>
        <w:rPr>
          <w:lang w:eastAsia="zh-CN"/>
        </w:rPr>
      </w:pPr>
    </w:p>
    <w:p>
      <w:pPr>
        <w:pStyle w:val="7"/>
        <w:spacing w:before="37" w:line="360" w:lineRule="auto"/>
        <w:ind w:right="491" w:firstLine="520"/>
        <w:jc w:val="both"/>
        <w:rPr>
          <w:lang w:eastAsia="zh-CN"/>
        </w:rPr>
      </w:pPr>
    </w:p>
    <w:p>
      <w:pPr>
        <w:spacing w:line="360" w:lineRule="auto"/>
        <w:ind w:left="6180" w:leftChars="9" w:hanging="6160" w:hangingChars="2800"/>
        <w:rPr>
          <w:rFonts w:hint="default"/>
          <w:lang w:val="en-US" w:eastAsia="zh-CN"/>
        </w:rPr>
      </w:pPr>
      <w:r>
        <w:rPr>
          <w:rFonts w:hint="eastAsia"/>
          <w:lang w:eastAsia="zh-CN"/>
        </w:rPr>
        <w:t xml:space="preserve">                                                                                                     </w:t>
      </w:r>
      <w:r>
        <w:rPr>
          <w:rFonts w:hint="eastAsia"/>
          <w:sz w:val="32"/>
          <w:szCs w:val="32"/>
          <w:lang w:eastAsia="zh-CN"/>
        </w:rPr>
        <w:t xml:space="preserve"> </w:t>
      </w:r>
      <w:r>
        <w:rPr>
          <w:rFonts w:hint="eastAsia" w:ascii="宋体" w:hAnsi="宋体" w:cs="宋体"/>
          <w:sz w:val="32"/>
          <w:szCs w:val="32"/>
          <w:lang w:eastAsia="zh-CN"/>
        </w:rPr>
        <w:t xml:space="preserve">浙江中辉裘革科技有限公司                                        </w:t>
      </w:r>
      <w:r>
        <w:rPr>
          <w:rFonts w:hint="eastAsia"/>
          <w:sz w:val="32"/>
          <w:szCs w:val="32"/>
          <w:lang w:eastAsia="zh-CN"/>
        </w:rPr>
        <w:t>20</w:t>
      </w:r>
      <w:r>
        <w:rPr>
          <w:rFonts w:hint="eastAsia"/>
          <w:sz w:val="32"/>
          <w:szCs w:val="32"/>
          <w:lang w:val="en-US" w:eastAsia="zh-CN"/>
        </w:rPr>
        <w:t>22</w:t>
      </w:r>
      <w:r>
        <w:rPr>
          <w:rFonts w:hint="eastAsia"/>
          <w:sz w:val="32"/>
          <w:szCs w:val="32"/>
          <w:lang w:eastAsia="zh-CN"/>
        </w:rPr>
        <w:t>-</w:t>
      </w:r>
      <w:r>
        <w:rPr>
          <w:rFonts w:hint="eastAsia"/>
          <w:sz w:val="32"/>
          <w:szCs w:val="32"/>
          <w:lang w:val="en-US" w:eastAsia="zh-CN"/>
        </w:rPr>
        <w:t>3</w:t>
      </w:r>
      <w:r>
        <w:rPr>
          <w:rFonts w:hint="eastAsia"/>
          <w:sz w:val="32"/>
          <w:szCs w:val="32"/>
          <w:lang w:eastAsia="zh-CN"/>
        </w:rPr>
        <w:t>-</w:t>
      </w:r>
      <w:r>
        <w:rPr>
          <w:rFonts w:hint="eastAsia"/>
          <w:sz w:val="32"/>
          <w:szCs w:val="32"/>
          <w:lang w:val="en-US" w:eastAsia="zh-CN"/>
        </w:rPr>
        <w:t>20</w:t>
      </w:r>
    </w:p>
    <w:bookmarkEnd w:id="31"/>
    <w:p>
      <w:pPr>
        <w:pStyle w:val="3"/>
        <w:rPr>
          <w:rFonts w:hint="eastAsia"/>
          <w:lang w:eastAsia="zh-CN"/>
        </w:rPr>
      </w:pPr>
    </w:p>
    <w:sectPr>
      <w:footerReference r:id="rId6" w:type="default"/>
      <w:pgSz w:w="11907" w:h="16840"/>
      <w:pgMar w:top="1540" w:right="1100" w:bottom="1160" w:left="1300" w:header="849" w:footer="979"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Calibri Bold">
    <w:altName w:val="Courier New"/>
    <w:panose1 w:val="020F070203040403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50" o:spid="_x0000_s2050" o:spt="202" type="#_x0000_t202" style="position:absolute;left:0pt;margin-left:293.35pt;margin-top:781.95pt;height:11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4899938"/>
      <w:docPartObj>
        <w:docPartGallery w:val="autotext"/>
      </w:docPartObj>
    </w:sdtPr>
    <w:sdtContent>
      <w:p>
        <w:pPr>
          <w:pStyle w:val="12"/>
          <w:jc w:val="center"/>
        </w:pPr>
        <w:r>
          <w:fldChar w:fldCharType="begin"/>
        </w:r>
        <w:r>
          <w:instrText xml:space="preserve"> PAGE   \* MERGEFORMAT </w:instrText>
        </w:r>
        <w:r>
          <w:fldChar w:fldCharType="separate"/>
        </w:r>
        <w:r>
          <w:rPr>
            <w:lang w:val="zh-CN"/>
          </w:rPr>
          <w:t>1</w:t>
        </w:r>
        <w:r>
          <w:rPr>
            <w:lang w:val="zh-CN"/>
          </w:rPr>
          <w:fldChar w:fldCharType="end"/>
        </w:r>
      </w:p>
    </w:sdtContent>
  </w:sdt>
  <w:p>
    <w:pPr>
      <w:spacing w:line="200" w:lineRule="exact"/>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default"/>
        <w:lang w:val="en-US" w:eastAsia="zh-CN"/>
      </w:rPr>
    </w:pPr>
    <w:r>
      <w:rPr>
        <w:sz w:val="21"/>
        <w:szCs w:val="21"/>
        <w:lang w:eastAsia="zh-CN"/>
      </w:rPr>
      <w:drawing>
        <wp:inline distT="0" distB="0" distL="0" distR="0">
          <wp:extent cx="713105" cy="430530"/>
          <wp:effectExtent l="0" t="0" r="10795" b="7620"/>
          <wp:docPr id="20"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logo"/>
                  <pic:cNvPicPr>
                    <a:picLocks noChangeAspect="1" noChangeArrowheads="1"/>
                  </pic:cNvPicPr>
                </pic:nvPicPr>
                <pic:blipFill>
                  <a:blip r:embed="rId1"/>
                  <a:srcRect/>
                  <a:stretch>
                    <a:fillRect/>
                  </a:stretch>
                </pic:blipFill>
                <pic:spPr>
                  <a:xfrm>
                    <a:off x="0" y="0"/>
                    <a:ext cx="713105" cy="430530"/>
                  </a:xfrm>
                  <a:prstGeom prst="rect">
                    <a:avLst/>
                  </a:prstGeom>
                  <a:noFill/>
                  <a:ln w="9525">
                    <a:noFill/>
                    <a:miter lim="800000"/>
                    <a:headEnd/>
                    <a:tailEnd/>
                  </a:ln>
                </pic:spPr>
              </pic:pic>
            </a:graphicData>
          </a:graphic>
        </wp:inline>
      </w:drawing>
    </w:r>
    <w:r>
      <w:rPr>
        <w:rFonts w:hint="eastAsia"/>
        <w:lang w:eastAsia="zh-CN"/>
      </w:rPr>
      <w:t xml:space="preserve">  </w:t>
    </w:r>
    <w:r>
      <w:rPr>
        <w:rFonts w:hint="eastAsia"/>
        <w:b/>
        <w:lang w:eastAsia="zh-CN"/>
      </w:rPr>
      <w:t>20</w:t>
    </w:r>
    <w:r>
      <w:rPr>
        <w:rFonts w:hint="eastAsia"/>
        <w:b/>
        <w:lang w:val="en-US" w:eastAsia="zh-CN"/>
      </w:rPr>
      <w:t>21</w:t>
    </w:r>
    <w:r>
      <w:rPr>
        <w:rFonts w:hint="eastAsia"/>
        <w:b/>
        <w:lang w:eastAsia="zh-CN"/>
      </w:rPr>
      <w:t>年</w:t>
    </w:r>
    <w:r>
      <w:rPr>
        <w:rFonts w:hint="eastAsia"/>
        <w:lang w:eastAsia="zh-CN"/>
      </w:rPr>
      <w:t xml:space="preserve"> </w:t>
    </w:r>
    <w:r>
      <w:rPr>
        <w:rFonts w:hint="eastAsia"/>
        <w:b/>
        <w:lang w:eastAsia="zh-CN"/>
      </w:rPr>
      <w:t>质 量 诚 信 报 告</w:t>
    </w:r>
    <w:r>
      <w:rPr>
        <w:rFonts w:hint="eastAsia" w:ascii="宋体" w:hAnsi="宋体"/>
        <w:b/>
        <w:lang w:eastAsia="zh-CN"/>
      </w:rPr>
      <w:t>～</w:t>
    </w:r>
    <w:r>
      <w:rPr>
        <w:rFonts w:hint="eastAsia"/>
        <w:b/>
        <w:lang w:val="en-US" w:eastAsia="zh-CN"/>
      </w:rPr>
      <w:t>中辉裘革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D336A6"/>
    <w:multiLevelType w:val="multilevel"/>
    <w:tmpl w:val="3CD336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1E4B129"/>
    <w:multiLevelType w:val="singleLevel"/>
    <w:tmpl w:val="51E4B129"/>
    <w:lvl w:ilvl="0" w:tentative="0">
      <w:start w:val="2"/>
      <w:numFmt w:val="decimal"/>
      <w:suff w:val="nothing"/>
      <w:lvlText w:val="%1、"/>
      <w:lvlJc w:val="left"/>
    </w:lvl>
  </w:abstractNum>
  <w:abstractNum w:abstractNumId="2">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3">
    <w:nsid w:val="7CDFE419"/>
    <w:multiLevelType w:val="multilevel"/>
    <w:tmpl w:val="7CDFE419"/>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suff w:val="nothing"/>
      <w:lvlText w:val="%1.%2.%3"/>
      <w:lvlJc w:val="left"/>
      <w:pPr>
        <w:ind w:hanging="648"/>
      </w:pPr>
      <w:rPr>
        <w:rFonts w:hint="default" w:ascii="宋体" w:hAnsi="宋体" w:eastAsia="宋体"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4">
    <w:nsid w:val="7DA02D67"/>
    <w:multiLevelType w:val="multilevel"/>
    <w:tmpl w:val="7DA02D6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2YzNjBkOTgyNWQ1YTMxYzM3MzMwNWFiODNmOWIzYWMifQ=="/>
  </w:docVars>
  <w:rsids>
    <w:rsidRoot w:val="00475148"/>
    <w:rsid w:val="00003ECB"/>
    <w:rsid w:val="00004534"/>
    <w:rsid w:val="0001322F"/>
    <w:rsid w:val="00016B1A"/>
    <w:rsid w:val="000174C0"/>
    <w:rsid w:val="00020EE8"/>
    <w:rsid w:val="0003088A"/>
    <w:rsid w:val="00036B5D"/>
    <w:rsid w:val="00040BAF"/>
    <w:rsid w:val="00047371"/>
    <w:rsid w:val="0004797E"/>
    <w:rsid w:val="00047EAE"/>
    <w:rsid w:val="00050131"/>
    <w:rsid w:val="00050915"/>
    <w:rsid w:val="000521BD"/>
    <w:rsid w:val="00067117"/>
    <w:rsid w:val="00070B42"/>
    <w:rsid w:val="00070FEC"/>
    <w:rsid w:val="00071CA8"/>
    <w:rsid w:val="00076E33"/>
    <w:rsid w:val="000833FE"/>
    <w:rsid w:val="00083B59"/>
    <w:rsid w:val="00091CB7"/>
    <w:rsid w:val="00094CF1"/>
    <w:rsid w:val="00095100"/>
    <w:rsid w:val="0009519E"/>
    <w:rsid w:val="000A2940"/>
    <w:rsid w:val="000A2AC1"/>
    <w:rsid w:val="000A5385"/>
    <w:rsid w:val="000A5A6F"/>
    <w:rsid w:val="000A5C4E"/>
    <w:rsid w:val="000B2550"/>
    <w:rsid w:val="000B718A"/>
    <w:rsid w:val="000B7D71"/>
    <w:rsid w:val="000C6FD4"/>
    <w:rsid w:val="000C79D0"/>
    <w:rsid w:val="000D012E"/>
    <w:rsid w:val="000D4A85"/>
    <w:rsid w:val="000E3B10"/>
    <w:rsid w:val="000F18A8"/>
    <w:rsid w:val="000F3A5C"/>
    <w:rsid w:val="000F424F"/>
    <w:rsid w:val="000F78F1"/>
    <w:rsid w:val="00101AED"/>
    <w:rsid w:val="0010647E"/>
    <w:rsid w:val="00106935"/>
    <w:rsid w:val="00122AA0"/>
    <w:rsid w:val="0012482A"/>
    <w:rsid w:val="00124968"/>
    <w:rsid w:val="00131843"/>
    <w:rsid w:val="00131A9E"/>
    <w:rsid w:val="00142370"/>
    <w:rsid w:val="00143E96"/>
    <w:rsid w:val="00147C34"/>
    <w:rsid w:val="0015674A"/>
    <w:rsid w:val="001606CF"/>
    <w:rsid w:val="001629DD"/>
    <w:rsid w:val="00163270"/>
    <w:rsid w:val="00164F3B"/>
    <w:rsid w:val="00165B82"/>
    <w:rsid w:val="00174C6C"/>
    <w:rsid w:val="00176545"/>
    <w:rsid w:val="00176DEF"/>
    <w:rsid w:val="00181410"/>
    <w:rsid w:val="00190F8C"/>
    <w:rsid w:val="0019164E"/>
    <w:rsid w:val="00191AC5"/>
    <w:rsid w:val="001969A7"/>
    <w:rsid w:val="001A0EB7"/>
    <w:rsid w:val="001A0FE7"/>
    <w:rsid w:val="001A2129"/>
    <w:rsid w:val="001A2C53"/>
    <w:rsid w:val="001A3A38"/>
    <w:rsid w:val="001A70BE"/>
    <w:rsid w:val="001C0758"/>
    <w:rsid w:val="001C24EF"/>
    <w:rsid w:val="001D4ECD"/>
    <w:rsid w:val="001D7067"/>
    <w:rsid w:val="001E18DF"/>
    <w:rsid w:val="001E30A4"/>
    <w:rsid w:val="001E5EFC"/>
    <w:rsid w:val="001F210E"/>
    <w:rsid w:val="001F4206"/>
    <w:rsid w:val="001F6590"/>
    <w:rsid w:val="00200115"/>
    <w:rsid w:val="0020393D"/>
    <w:rsid w:val="00205BED"/>
    <w:rsid w:val="00207E25"/>
    <w:rsid w:val="00207F8F"/>
    <w:rsid w:val="00212704"/>
    <w:rsid w:val="00220173"/>
    <w:rsid w:val="0022363A"/>
    <w:rsid w:val="00231F90"/>
    <w:rsid w:val="00236B6B"/>
    <w:rsid w:val="00236E6A"/>
    <w:rsid w:val="0024259E"/>
    <w:rsid w:val="00247BA1"/>
    <w:rsid w:val="0025553C"/>
    <w:rsid w:val="00265502"/>
    <w:rsid w:val="00275967"/>
    <w:rsid w:val="0028708E"/>
    <w:rsid w:val="002A4A5B"/>
    <w:rsid w:val="002A77DD"/>
    <w:rsid w:val="002A7D69"/>
    <w:rsid w:val="002C330E"/>
    <w:rsid w:val="002C4F74"/>
    <w:rsid w:val="002C5BC5"/>
    <w:rsid w:val="002C6C0A"/>
    <w:rsid w:val="002D6204"/>
    <w:rsid w:val="002D6F7C"/>
    <w:rsid w:val="002D7FC7"/>
    <w:rsid w:val="002E0029"/>
    <w:rsid w:val="002E3B54"/>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009F"/>
    <w:rsid w:val="003A385E"/>
    <w:rsid w:val="003A4AF9"/>
    <w:rsid w:val="003A5481"/>
    <w:rsid w:val="003A6E77"/>
    <w:rsid w:val="003A731A"/>
    <w:rsid w:val="003B1A91"/>
    <w:rsid w:val="003B42BF"/>
    <w:rsid w:val="003B4615"/>
    <w:rsid w:val="003D3CF4"/>
    <w:rsid w:val="003D603B"/>
    <w:rsid w:val="003E2306"/>
    <w:rsid w:val="003E29DC"/>
    <w:rsid w:val="003E617D"/>
    <w:rsid w:val="003F2398"/>
    <w:rsid w:val="003F6E0B"/>
    <w:rsid w:val="0040485E"/>
    <w:rsid w:val="00406EAC"/>
    <w:rsid w:val="0040798F"/>
    <w:rsid w:val="00407A8F"/>
    <w:rsid w:val="00415440"/>
    <w:rsid w:val="00420713"/>
    <w:rsid w:val="0042073D"/>
    <w:rsid w:val="00420D14"/>
    <w:rsid w:val="00421034"/>
    <w:rsid w:val="00421BBF"/>
    <w:rsid w:val="0044292B"/>
    <w:rsid w:val="00443589"/>
    <w:rsid w:val="004511F0"/>
    <w:rsid w:val="00453967"/>
    <w:rsid w:val="00457830"/>
    <w:rsid w:val="00463629"/>
    <w:rsid w:val="0046511C"/>
    <w:rsid w:val="00473F9A"/>
    <w:rsid w:val="00474787"/>
    <w:rsid w:val="00475148"/>
    <w:rsid w:val="00481528"/>
    <w:rsid w:val="00481C15"/>
    <w:rsid w:val="00482BA9"/>
    <w:rsid w:val="004867E9"/>
    <w:rsid w:val="00491248"/>
    <w:rsid w:val="00492097"/>
    <w:rsid w:val="004A2C03"/>
    <w:rsid w:val="004A6672"/>
    <w:rsid w:val="004B28E4"/>
    <w:rsid w:val="004B39E5"/>
    <w:rsid w:val="004C0551"/>
    <w:rsid w:val="004C3E00"/>
    <w:rsid w:val="004D242D"/>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462BB"/>
    <w:rsid w:val="00550DC4"/>
    <w:rsid w:val="00551AFC"/>
    <w:rsid w:val="00553DA0"/>
    <w:rsid w:val="0056406B"/>
    <w:rsid w:val="0056534B"/>
    <w:rsid w:val="00594CC7"/>
    <w:rsid w:val="00595D9A"/>
    <w:rsid w:val="005B57BE"/>
    <w:rsid w:val="005B65E0"/>
    <w:rsid w:val="005B6EAA"/>
    <w:rsid w:val="005C34D0"/>
    <w:rsid w:val="005C3CA0"/>
    <w:rsid w:val="005C6731"/>
    <w:rsid w:val="005D39FB"/>
    <w:rsid w:val="005D518F"/>
    <w:rsid w:val="005E1D20"/>
    <w:rsid w:val="005F0D5D"/>
    <w:rsid w:val="005F57F4"/>
    <w:rsid w:val="0060377F"/>
    <w:rsid w:val="00605BFC"/>
    <w:rsid w:val="00615C85"/>
    <w:rsid w:val="006172E0"/>
    <w:rsid w:val="00620535"/>
    <w:rsid w:val="00631610"/>
    <w:rsid w:val="00634B58"/>
    <w:rsid w:val="0063622E"/>
    <w:rsid w:val="00641FAC"/>
    <w:rsid w:val="006421C5"/>
    <w:rsid w:val="00642347"/>
    <w:rsid w:val="0064450C"/>
    <w:rsid w:val="00645AA8"/>
    <w:rsid w:val="006532E7"/>
    <w:rsid w:val="0066189F"/>
    <w:rsid w:val="0066193B"/>
    <w:rsid w:val="00662F17"/>
    <w:rsid w:val="00663804"/>
    <w:rsid w:val="0068288D"/>
    <w:rsid w:val="00687A7A"/>
    <w:rsid w:val="00687ECC"/>
    <w:rsid w:val="006924F4"/>
    <w:rsid w:val="00693B3B"/>
    <w:rsid w:val="00694184"/>
    <w:rsid w:val="006973D5"/>
    <w:rsid w:val="006A45B4"/>
    <w:rsid w:val="006A54B0"/>
    <w:rsid w:val="006A6286"/>
    <w:rsid w:val="006B0A4C"/>
    <w:rsid w:val="006B25EC"/>
    <w:rsid w:val="006B594D"/>
    <w:rsid w:val="006C44E8"/>
    <w:rsid w:val="006D06F9"/>
    <w:rsid w:val="006D3F35"/>
    <w:rsid w:val="006D4FE0"/>
    <w:rsid w:val="006D6A13"/>
    <w:rsid w:val="006E27B3"/>
    <w:rsid w:val="006E580E"/>
    <w:rsid w:val="006E76A8"/>
    <w:rsid w:val="006F06AE"/>
    <w:rsid w:val="006F18DA"/>
    <w:rsid w:val="006F2167"/>
    <w:rsid w:val="006F4F7F"/>
    <w:rsid w:val="006F7A2A"/>
    <w:rsid w:val="007051C9"/>
    <w:rsid w:val="007171E9"/>
    <w:rsid w:val="007238F4"/>
    <w:rsid w:val="00727F5A"/>
    <w:rsid w:val="00742D59"/>
    <w:rsid w:val="00743F4E"/>
    <w:rsid w:val="00751704"/>
    <w:rsid w:val="00756B4E"/>
    <w:rsid w:val="00761246"/>
    <w:rsid w:val="00762B01"/>
    <w:rsid w:val="00763394"/>
    <w:rsid w:val="0076524D"/>
    <w:rsid w:val="00773313"/>
    <w:rsid w:val="00784CC3"/>
    <w:rsid w:val="00785DC5"/>
    <w:rsid w:val="007867FC"/>
    <w:rsid w:val="00793D34"/>
    <w:rsid w:val="00796A96"/>
    <w:rsid w:val="007A21D9"/>
    <w:rsid w:val="007A26EB"/>
    <w:rsid w:val="007A378E"/>
    <w:rsid w:val="007A685A"/>
    <w:rsid w:val="007B116D"/>
    <w:rsid w:val="007B193B"/>
    <w:rsid w:val="007B350D"/>
    <w:rsid w:val="007C29B8"/>
    <w:rsid w:val="007C3FBB"/>
    <w:rsid w:val="007C5439"/>
    <w:rsid w:val="007C6204"/>
    <w:rsid w:val="007D43A3"/>
    <w:rsid w:val="007E12D0"/>
    <w:rsid w:val="007E366D"/>
    <w:rsid w:val="007E52C4"/>
    <w:rsid w:val="007E75A9"/>
    <w:rsid w:val="007F3002"/>
    <w:rsid w:val="007F57D7"/>
    <w:rsid w:val="00806A7D"/>
    <w:rsid w:val="0081312D"/>
    <w:rsid w:val="00814870"/>
    <w:rsid w:val="00820107"/>
    <w:rsid w:val="00823F12"/>
    <w:rsid w:val="00825F81"/>
    <w:rsid w:val="008304F1"/>
    <w:rsid w:val="008331B0"/>
    <w:rsid w:val="008421F7"/>
    <w:rsid w:val="00851536"/>
    <w:rsid w:val="00852D0C"/>
    <w:rsid w:val="00853881"/>
    <w:rsid w:val="00853EB7"/>
    <w:rsid w:val="00857312"/>
    <w:rsid w:val="008619E4"/>
    <w:rsid w:val="00864130"/>
    <w:rsid w:val="008825D2"/>
    <w:rsid w:val="00891C3D"/>
    <w:rsid w:val="00893A5D"/>
    <w:rsid w:val="00894C07"/>
    <w:rsid w:val="008A4289"/>
    <w:rsid w:val="008A4703"/>
    <w:rsid w:val="008A4A54"/>
    <w:rsid w:val="008B0DB5"/>
    <w:rsid w:val="008B2706"/>
    <w:rsid w:val="008B678F"/>
    <w:rsid w:val="008D1064"/>
    <w:rsid w:val="008E1D2A"/>
    <w:rsid w:val="008E21EE"/>
    <w:rsid w:val="008E4D84"/>
    <w:rsid w:val="008F247C"/>
    <w:rsid w:val="008F4F60"/>
    <w:rsid w:val="00900F96"/>
    <w:rsid w:val="00900FF4"/>
    <w:rsid w:val="009017B9"/>
    <w:rsid w:val="00902AC8"/>
    <w:rsid w:val="0090407E"/>
    <w:rsid w:val="009062C9"/>
    <w:rsid w:val="00911CFD"/>
    <w:rsid w:val="00913035"/>
    <w:rsid w:val="009233E5"/>
    <w:rsid w:val="009310DF"/>
    <w:rsid w:val="00934AC0"/>
    <w:rsid w:val="009364F6"/>
    <w:rsid w:val="00936DC5"/>
    <w:rsid w:val="00940D16"/>
    <w:rsid w:val="00943B39"/>
    <w:rsid w:val="00954A99"/>
    <w:rsid w:val="00967EDB"/>
    <w:rsid w:val="00967F64"/>
    <w:rsid w:val="00972FD2"/>
    <w:rsid w:val="0098657C"/>
    <w:rsid w:val="00994F6D"/>
    <w:rsid w:val="009A6AD5"/>
    <w:rsid w:val="009A7F4A"/>
    <w:rsid w:val="009B28FD"/>
    <w:rsid w:val="009C2F39"/>
    <w:rsid w:val="009D3095"/>
    <w:rsid w:val="009D7968"/>
    <w:rsid w:val="009E1318"/>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66976"/>
    <w:rsid w:val="00A73407"/>
    <w:rsid w:val="00AA3506"/>
    <w:rsid w:val="00AA533F"/>
    <w:rsid w:val="00AB224E"/>
    <w:rsid w:val="00AB5CDA"/>
    <w:rsid w:val="00AB5F0F"/>
    <w:rsid w:val="00AB6A43"/>
    <w:rsid w:val="00AB7167"/>
    <w:rsid w:val="00AC0534"/>
    <w:rsid w:val="00AC4B08"/>
    <w:rsid w:val="00AC7C87"/>
    <w:rsid w:val="00AD3BD4"/>
    <w:rsid w:val="00AD4E1F"/>
    <w:rsid w:val="00AD7148"/>
    <w:rsid w:val="00AF1B6B"/>
    <w:rsid w:val="00AF6576"/>
    <w:rsid w:val="00B023F9"/>
    <w:rsid w:val="00B10C1B"/>
    <w:rsid w:val="00B16A11"/>
    <w:rsid w:val="00B173A2"/>
    <w:rsid w:val="00B210C7"/>
    <w:rsid w:val="00B215A4"/>
    <w:rsid w:val="00B22ECC"/>
    <w:rsid w:val="00B259D5"/>
    <w:rsid w:val="00B30DA8"/>
    <w:rsid w:val="00B351FB"/>
    <w:rsid w:val="00B37FD5"/>
    <w:rsid w:val="00B43176"/>
    <w:rsid w:val="00B43DDB"/>
    <w:rsid w:val="00B61837"/>
    <w:rsid w:val="00B65DB8"/>
    <w:rsid w:val="00B66740"/>
    <w:rsid w:val="00B673EC"/>
    <w:rsid w:val="00B8081F"/>
    <w:rsid w:val="00B8490D"/>
    <w:rsid w:val="00B941A8"/>
    <w:rsid w:val="00B96F41"/>
    <w:rsid w:val="00BA662B"/>
    <w:rsid w:val="00BB161E"/>
    <w:rsid w:val="00BC131F"/>
    <w:rsid w:val="00BC2504"/>
    <w:rsid w:val="00BC3B29"/>
    <w:rsid w:val="00BC3FC1"/>
    <w:rsid w:val="00BC473E"/>
    <w:rsid w:val="00BD43CD"/>
    <w:rsid w:val="00BE0F15"/>
    <w:rsid w:val="00BE2292"/>
    <w:rsid w:val="00BE3EC3"/>
    <w:rsid w:val="00BE6C56"/>
    <w:rsid w:val="00C01F1F"/>
    <w:rsid w:val="00C02511"/>
    <w:rsid w:val="00C105B8"/>
    <w:rsid w:val="00C12719"/>
    <w:rsid w:val="00C12802"/>
    <w:rsid w:val="00C2472F"/>
    <w:rsid w:val="00C32024"/>
    <w:rsid w:val="00C4375E"/>
    <w:rsid w:val="00C50473"/>
    <w:rsid w:val="00C5669D"/>
    <w:rsid w:val="00C60095"/>
    <w:rsid w:val="00C60839"/>
    <w:rsid w:val="00C62DCF"/>
    <w:rsid w:val="00C637E5"/>
    <w:rsid w:val="00C7152E"/>
    <w:rsid w:val="00C80E1E"/>
    <w:rsid w:val="00C817D7"/>
    <w:rsid w:val="00C828E9"/>
    <w:rsid w:val="00C84E43"/>
    <w:rsid w:val="00C90244"/>
    <w:rsid w:val="00C93630"/>
    <w:rsid w:val="00C93AA4"/>
    <w:rsid w:val="00C959C2"/>
    <w:rsid w:val="00C96526"/>
    <w:rsid w:val="00CA3DAD"/>
    <w:rsid w:val="00CB08C4"/>
    <w:rsid w:val="00CB4F34"/>
    <w:rsid w:val="00CB70F2"/>
    <w:rsid w:val="00CC3618"/>
    <w:rsid w:val="00CD1946"/>
    <w:rsid w:val="00CD6807"/>
    <w:rsid w:val="00CD732A"/>
    <w:rsid w:val="00CE62A0"/>
    <w:rsid w:val="00CE77B3"/>
    <w:rsid w:val="00CF274D"/>
    <w:rsid w:val="00D04550"/>
    <w:rsid w:val="00D107BA"/>
    <w:rsid w:val="00D1307D"/>
    <w:rsid w:val="00D1319A"/>
    <w:rsid w:val="00D200B9"/>
    <w:rsid w:val="00D252BD"/>
    <w:rsid w:val="00D333A1"/>
    <w:rsid w:val="00D4422F"/>
    <w:rsid w:val="00D47C16"/>
    <w:rsid w:val="00D50672"/>
    <w:rsid w:val="00D5108A"/>
    <w:rsid w:val="00D62007"/>
    <w:rsid w:val="00D63DF8"/>
    <w:rsid w:val="00D65BEA"/>
    <w:rsid w:val="00D72542"/>
    <w:rsid w:val="00D7407F"/>
    <w:rsid w:val="00D76947"/>
    <w:rsid w:val="00D8198F"/>
    <w:rsid w:val="00D8519B"/>
    <w:rsid w:val="00D96A84"/>
    <w:rsid w:val="00DA0611"/>
    <w:rsid w:val="00DA4189"/>
    <w:rsid w:val="00DB010D"/>
    <w:rsid w:val="00DB0D0B"/>
    <w:rsid w:val="00DB2351"/>
    <w:rsid w:val="00DB6CDF"/>
    <w:rsid w:val="00DC00A3"/>
    <w:rsid w:val="00DC7B07"/>
    <w:rsid w:val="00DD3A82"/>
    <w:rsid w:val="00DD4C93"/>
    <w:rsid w:val="00DD7EA5"/>
    <w:rsid w:val="00DE0F55"/>
    <w:rsid w:val="00DF06DF"/>
    <w:rsid w:val="00DF150E"/>
    <w:rsid w:val="00DF25B7"/>
    <w:rsid w:val="00DF4177"/>
    <w:rsid w:val="00DF5E12"/>
    <w:rsid w:val="00E00BBE"/>
    <w:rsid w:val="00E02381"/>
    <w:rsid w:val="00E03757"/>
    <w:rsid w:val="00E13280"/>
    <w:rsid w:val="00E225F6"/>
    <w:rsid w:val="00E22DDD"/>
    <w:rsid w:val="00E27F64"/>
    <w:rsid w:val="00E426F2"/>
    <w:rsid w:val="00E43779"/>
    <w:rsid w:val="00E46BA2"/>
    <w:rsid w:val="00E52688"/>
    <w:rsid w:val="00E5721C"/>
    <w:rsid w:val="00E6024A"/>
    <w:rsid w:val="00E62449"/>
    <w:rsid w:val="00E728E7"/>
    <w:rsid w:val="00E81DA0"/>
    <w:rsid w:val="00E86769"/>
    <w:rsid w:val="00E87642"/>
    <w:rsid w:val="00E91D7A"/>
    <w:rsid w:val="00E9729B"/>
    <w:rsid w:val="00EA00A7"/>
    <w:rsid w:val="00EA29D6"/>
    <w:rsid w:val="00EA3260"/>
    <w:rsid w:val="00EA6969"/>
    <w:rsid w:val="00EB0425"/>
    <w:rsid w:val="00EC36E8"/>
    <w:rsid w:val="00EC52FA"/>
    <w:rsid w:val="00ED09D3"/>
    <w:rsid w:val="00ED1CEE"/>
    <w:rsid w:val="00ED5CBB"/>
    <w:rsid w:val="00ED6534"/>
    <w:rsid w:val="00EE37E4"/>
    <w:rsid w:val="00EE50FD"/>
    <w:rsid w:val="00EF34D8"/>
    <w:rsid w:val="00F51163"/>
    <w:rsid w:val="00F51ED8"/>
    <w:rsid w:val="00F51FEA"/>
    <w:rsid w:val="00F539CB"/>
    <w:rsid w:val="00F5526D"/>
    <w:rsid w:val="00F6742C"/>
    <w:rsid w:val="00F70820"/>
    <w:rsid w:val="00F766AB"/>
    <w:rsid w:val="00F913F9"/>
    <w:rsid w:val="00F91595"/>
    <w:rsid w:val="00F936D1"/>
    <w:rsid w:val="00F9494A"/>
    <w:rsid w:val="00F951AB"/>
    <w:rsid w:val="00F973C8"/>
    <w:rsid w:val="00FA047F"/>
    <w:rsid w:val="00FA2A67"/>
    <w:rsid w:val="00FB1226"/>
    <w:rsid w:val="00FB1572"/>
    <w:rsid w:val="00FB72A2"/>
    <w:rsid w:val="00FC1180"/>
    <w:rsid w:val="00FD0483"/>
    <w:rsid w:val="00FD1729"/>
    <w:rsid w:val="00FD5939"/>
    <w:rsid w:val="00FE3DBE"/>
    <w:rsid w:val="00FF0332"/>
    <w:rsid w:val="01853808"/>
    <w:rsid w:val="099E025B"/>
    <w:rsid w:val="0DCC1997"/>
    <w:rsid w:val="0ECE41BB"/>
    <w:rsid w:val="10636462"/>
    <w:rsid w:val="11C95D1A"/>
    <w:rsid w:val="11FC5B8F"/>
    <w:rsid w:val="14CF5443"/>
    <w:rsid w:val="18C62E56"/>
    <w:rsid w:val="18D801B7"/>
    <w:rsid w:val="1D314D84"/>
    <w:rsid w:val="1DA6035E"/>
    <w:rsid w:val="205A7414"/>
    <w:rsid w:val="24350F6F"/>
    <w:rsid w:val="24914939"/>
    <w:rsid w:val="25F37FC4"/>
    <w:rsid w:val="26EB0D73"/>
    <w:rsid w:val="275203C6"/>
    <w:rsid w:val="2946721D"/>
    <w:rsid w:val="2A03399B"/>
    <w:rsid w:val="30F34067"/>
    <w:rsid w:val="357911C7"/>
    <w:rsid w:val="3ADE4701"/>
    <w:rsid w:val="3DC01EBB"/>
    <w:rsid w:val="3F710803"/>
    <w:rsid w:val="40BF407F"/>
    <w:rsid w:val="430440C4"/>
    <w:rsid w:val="49207DBA"/>
    <w:rsid w:val="493024B4"/>
    <w:rsid w:val="4A9A6E4B"/>
    <w:rsid w:val="4B25443B"/>
    <w:rsid w:val="4B88528B"/>
    <w:rsid w:val="4C161AA6"/>
    <w:rsid w:val="4D9A72A3"/>
    <w:rsid w:val="4EC05634"/>
    <w:rsid w:val="53C41FF6"/>
    <w:rsid w:val="553E6B33"/>
    <w:rsid w:val="560873E9"/>
    <w:rsid w:val="5A6A15CE"/>
    <w:rsid w:val="5B0F1107"/>
    <w:rsid w:val="5B8E02A2"/>
    <w:rsid w:val="5CFC60F1"/>
    <w:rsid w:val="5D6A152B"/>
    <w:rsid w:val="5E0F6886"/>
    <w:rsid w:val="5EA24EC4"/>
    <w:rsid w:val="60D338D7"/>
    <w:rsid w:val="616051CB"/>
    <w:rsid w:val="649B0A8D"/>
    <w:rsid w:val="652B2A5E"/>
    <w:rsid w:val="65342870"/>
    <w:rsid w:val="674826D7"/>
    <w:rsid w:val="67DE36AA"/>
    <w:rsid w:val="689033BA"/>
    <w:rsid w:val="6B3A41AA"/>
    <w:rsid w:val="6B427D65"/>
    <w:rsid w:val="6F1C6FA9"/>
    <w:rsid w:val="6FDF65D3"/>
    <w:rsid w:val="747430ED"/>
    <w:rsid w:val="76292102"/>
    <w:rsid w:val="76BD58DC"/>
    <w:rsid w:val="78C779A6"/>
    <w:rsid w:val="799E54B2"/>
    <w:rsid w:val="7C450A2C"/>
    <w:rsid w:val="7F5742B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sz w:val="22"/>
      <w:szCs w:val="22"/>
      <w:lang w:val="en-US" w:eastAsia="en-US" w:bidi="ar-SA"/>
    </w:rPr>
  </w:style>
  <w:style w:type="paragraph" w:styleId="3">
    <w:name w:val="heading 1"/>
    <w:basedOn w:val="4"/>
    <w:next w:val="1"/>
    <w:qFormat/>
    <w:locked/>
    <w:uiPriority w:val="0"/>
    <w:pPr>
      <w:keepNext/>
      <w:keepLines/>
      <w:snapToGrid w:val="0"/>
      <w:spacing w:line="360" w:lineRule="auto"/>
    </w:pPr>
    <w:rPr>
      <w:rFonts w:ascii="Times New Roman" w:hAnsi="Times New Roman" w:eastAsia="黑体"/>
      <w:b w:val="0"/>
      <w:kern w:val="44"/>
    </w:rPr>
  </w:style>
  <w:style w:type="paragraph" w:styleId="5">
    <w:name w:val="heading 2"/>
    <w:basedOn w:val="1"/>
    <w:next w:val="1"/>
    <w:unhideWhenUsed/>
    <w:qFormat/>
    <w:locked/>
    <w:uiPriority w:val="0"/>
    <w:pPr>
      <w:keepNext/>
      <w:keepLines/>
      <w:spacing w:line="360" w:lineRule="auto"/>
      <w:ind w:firstLine="440" w:firstLineChars="200"/>
      <w:outlineLvl w:val="1"/>
    </w:pPr>
    <w:rPr>
      <w:rFonts w:ascii="Arial" w:hAnsi="Arial"/>
      <w:sz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hAnsi="仿宋" w:eastAsia="仿宋"/>
      <w:szCs w:val="20"/>
    </w:rPr>
  </w:style>
  <w:style w:type="paragraph" w:styleId="4">
    <w:name w:val="Title"/>
    <w:basedOn w:val="1"/>
    <w:qFormat/>
    <w:locked/>
    <w:uiPriority w:val="0"/>
    <w:pPr>
      <w:jc w:val="center"/>
      <w:outlineLvl w:val="0"/>
    </w:pPr>
    <w:rPr>
      <w:rFonts w:ascii="Arial" w:hAnsi="Arial"/>
      <w:b/>
      <w:sz w:val="32"/>
    </w:rPr>
  </w:style>
  <w:style w:type="paragraph" w:styleId="6">
    <w:name w:val="caption"/>
    <w:basedOn w:val="1"/>
    <w:next w:val="1"/>
    <w:link w:val="35"/>
    <w:unhideWhenUsed/>
    <w:qFormat/>
    <w:locked/>
    <w:uiPriority w:val="35"/>
    <w:pPr>
      <w:jc w:val="both"/>
    </w:pPr>
    <w:rPr>
      <w:rFonts w:ascii="Cambria" w:hAnsi="Cambria" w:eastAsia="黑体"/>
      <w:kern w:val="2"/>
      <w:sz w:val="20"/>
      <w:szCs w:val="20"/>
      <w:lang w:eastAsia="zh-CN"/>
    </w:rPr>
  </w:style>
  <w:style w:type="paragraph" w:styleId="7">
    <w:name w:val="Body Text"/>
    <w:basedOn w:val="1"/>
    <w:link w:val="23"/>
    <w:qFormat/>
    <w:uiPriority w:val="99"/>
    <w:pPr>
      <w:ind w:left="289"/>
    </w:pPr>
    <w:rPr>
      <w:rFonts w:ascii="宋体" w:hAnsi="宋体"/>
      <w:sz w:val="26"/>
      <w:szCs w:val="26"/>
    </w:rPr>
  </w:style>
  <w:style w:type="paragraph" w:styleId="8">
    <w:name w:val="toc 3"/>
    <w:basedOn w:val="1"/>
    <w:next w:val="1"/>
    <w:qFormat/>
    <w:locked/>
    <w:uiPriority w:val="0"/>
    <w:pPr>
      <w:ind w:left="840" w:leftChars="400"/>
    </w:pPr>
  </w:style>
  <w:style w:type="paragraph" w:styleId="9">
    <w:name w:val="Plain Text"/>
    <w:basedOn w:val="1"/>
    <w:link w:val="44"/>
    <w:qFormat/>
    <w:uiPriority w:val="0"/>
    <w:pPr>
      <w:jc w:val="both"/>
    </w:pPr>
    <w:rPr>
      <w:rFonts w:ascii="宋体" w:hAnsi="Courier New" w:cs="Courier New"/>
      <w:kern w:val="2"/>
      <w:sz w:val="21"/>
      <w:szCs w:val="21"/>
      <w:lang w:eastAsia="zh-CN"/>
    </w:rPr>
  </w:style>
  <w:style w:type="paragraph" w:styleId="10">
    <w:name w:val="Body Text Indent 2"/>
    <w:basedOn w:val="1"/>
    <w:qFormat/>
    <w:uiPriority w:val="99"/>
    <w:pPr>
      <w:spacing w:after="120" w:line="480" w:lineRule="auto"/>
      <w:ind w:left="420" w:leftChars="200"/>
    </w:pPr>
    <w:rPr>
      <w:rFonts w:ascii="Times New Roman" w:hAnsi="Times New Roman"/>
      <w:szCs w:val="24"/>
    </w:rPr>
  </w:style>
  <w:style w:type="paragraph" w:styleId="11">
    <w:name w:val="Balloon Text"/>
    <w:basedOn w:val="1"/>
    <w:link w:val="30"/>
    <w:semiHidden/>
    <w:qFormat/>
    <w:uiPriority w:val="99"/>
    <w:pPr>
      <w:jc w:val="both"/>
    </w:pPr>
    <w:rPr>
      <w:sz w:val="18"/>
      <w:szCs w:val="18"/>
      <w:lang w:eastAsia="zh-CN"/>
    </w:rPr>
  </w:style>
  <w:style w:type="paragraph" w:styleId="12">
    <w:name w:val="footer"/>
    <w:basedOn w:val="1"/>
    <w:link w:val="29"/>
    <w:qFormat/>
    <w:uiPriority w:val="99"/>
    <w:pPr>
      <w:tabs>
        <w:tab w:val="center" w:pos="4153"/>
        <w:tab w:val="right" w:pos="8306"/>
      </w:tabs>
      <w:snapToGrid w:val="0"/>
    </w:pPr>
    <w:rPr>
      <w:sz w:val="18"/>
      <w:szCs w:val="18"/>
    </w:rPr>
  </w:style>
  <w:style w:type="paragraph" w:styleId="13">
    <w:name w:val="header"/>
    <w:basedOn w:val="1"/>
    <w:link w:val="28"/>
    <w:semiHidden/>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locked/>
    <w:uiPriority w:val="0"/>
  </w:style>
  <w:style w:type="paragraph" w:styleId="15">
    <w:name w:val="toc 2"/>
    <w:basedOn w:val="1"/>
    <w:next w:val="1"/>
    <w:qFormat/>
    <w:locked/>
    <w:uiPriority w:val="0"/>
    <w:pPr>
      <w:ind w:left="420" w:leftChars="200"/>
    </w:pPr>
  </w:style>
  <w:style w:type="paragraph" w:styleId="16">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8">
    <w:name w:val="Table Grid"/>
    <w:basedOn w:val="17"/>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0">
    <w:name w:val="Strong"/>
    <w:basedOn w:val="19"/>
    <w:qFormat/>
    <w:locked/>
    <w:uiPriority w:val="22"/>
    <w:rPr>
      <w:b/>
      <w:bCs/>
    </w:rPr>
  </w:style>
  <w:style w:type="character" w:styleId="21">
    <w:name w:val="Hyperlink"/>
    <w:basedOn w:val="19"/>
    <w:qFormat/>
    <w:uiPriority w:val="99"/>
    <w:rPr>
      <w:rFonts w:cs="Times New Roman"/>
      <w:color w:val="0000FF"/>
      <w:u w:val="single"/>
    </w:rPr>
  </w:style>
  <w:style w:type="table" w:customStyle="1" w:styleId="22">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3">
    <w:name w:val="正文文本 Char"/>
    <w:basedOn w:val="19"/>
    <w:link w:val="7"/>
    <w:semiHidden/>
    <w:qFormat/>
    <w:locked/>
    <w:uiPriority w:val="99"/>
    <w:rPr>
      <w:rFonts w:cs="Times New Roman"/>
      <w:kern w:val="0"/>
      <w:sz w:val="22"/>
      <w:lang w:eastAsia="en-US"/>
    </w:rPr>
  </w:style>
  <w:style w:type="paragraph" w:customStyle="1" w:styleId="24">
    <w:name w:val="Heading 11"/>
    <w:basedOn w:val="1"/>
    <w:qFormat/>
    <w:uiPriority w:val="99"/>
    <w:pPr>
      <w:outlineLvl w:val="1"/>
    </w:pPr>
    <w:rPr>
      <w:rFonts w:ascii="黑体" w:hAnsi="黑体" w:eastAsia="黑体"/>
      <w:sz w:val="32"/>
      <w:szCs w:val="32"/>
    </w:rPr>
  </w:style>
  <w:style w:type="paragraph" w:customStyle="1" w:styleId="25">
    <w:name w:val="Heading 21"/>
    <w:basedOn w:val="1"/>
    <w:qFormat/>
    <w:uiPriority w:val="99"/>
    <w:pPr>
      <w:ind w:left="560" w:hanging="629"/>
      <w:outlineLvl w:val="2"/>
    </w:pPr>
    <w:rPr>
      <w:rFonts w:ascii="宋体" w:hAnsi="宋体"/>
      <w:sz w:val="28"/>
      <w:szCs w:val="28"/>
    </w:rPr>
  </w:style>
  <w:style w:type="paragraph" w:customStyle="1" w:styleId="26">
    <w:name w:val="列出段落1"/>
    <w:basedOn w:val="1"/>
    <w:qFormat/>
    <w:uiPriority w:val="34"/>
  </w:style>
  <w:style w:type="paragraph" w:customStyle="1" w:styleId="27">
    <w:name w:val="Table Paragraph"/>
    <w:basedOn w:val="1"/>
    <w:qFormat/>
    <w:uiPriority w:val="99"/>
  </w:style>
  <w:style w:type="character" w:customStyle="1" w:styleId="28">
    <w:name w:val="页眉 Char"/>
    <w:basedOn w:val="19"/>
    <w:link w:val="13"/>
    <w:semiHidden/>
    <w:qFormat/>
    <w:locked/>
    <w:uiPriority w:val="99"/>
    <w:rPr>
      <w:rFonts w:cs="Times New Roman"/>
      <w:sz w:val="18"/>
      <w:szCs w:val="18"/>
    </w:rPr>
  </w:style>
  <w:style w:type="character" w:customStyle="1" w:styleId="29">
    <w:name w:val="页脚 Char"/>
    <w:basedOn w:val="19"/>
    <w:link w:val="12"/>
    <w:qFormat/>
    <w:locked/>
    <w:uiPriority w:val="99"/>
    <w:rPr>
      <w:rFonts w:cs="Times New Roman"/>
      <w:sz w:val="18"/>
      <w:szCs w:val="18"/>
    </w:rPr>
  </w:style>
  <w:style w:type="character" w:customStyle="1" w:styleId="30">
    <w:name w:val="批注框文本 Char"/>
    <w:basedOn w:val="19"/>
    <w:link w:val="11"/>
    <w:semiHidden/>
    <w:qFormat/>
    <w:locked/>
    <w:uiPriority w:val="99"/>
    <w:rPr>
      <w:rFonts w:ascii="Calibri" w:hAnsi="Calibri" w:eastAsia="宋体" w:cs="Times New Roman"/>
      <w:sz w:val="18"/>
      <w:szCs w:val="18"/>
      <w:lang w:val="en-US" w:eastAsia="zh-CN" w:bidi="ar-SA"/>
    </w:rPr>
  </w:style>
  <w:style w:type="paragraph" w:customStyle="1" w:styleId="31">
    <w:name w:val="YL正文"/>
    <w:basedOn w:val="1"/>
    <w:link w:val="32"/>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2">
    <w:name w:val="YL正文 Char"/>
    <w:basedOn w:val="19"/>
    <w:link w:val="31"/>
    <w:qFormat/>
    <w:locked/>
    <w:uiPriority w:val="99"/>
    <w:rPr>
      <w:rFonts w:ascii="仿宋" w:hAnsi="仿宋" w:eastAsia="宋体" w:cs="Times New Roman"/>
      <w:color w:val="000000"/>
      <w:kern w:val="2"/>
      <w:sz w:val="24"/>
      <w:szCs w:val="24"/>
      <w:lang w:val="en-US" w:eastAsia="zh-CN" w:bidi="ar-SA"/>
    </w:rPr>
  </w:style>
  <w:style w:type="paragraph" w:customStyle="1" w:styleId="33">
    <w:name w:val="YL六级"/>
    <w:basedOn w:val="1"/>
    <w:link w:val="34"/>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4">
    <w:name w:val="YL六级 Char"/>
    <w:basedOn w:val="19"/>
    <w:link w:val="33"/>
    <w:qFormat/>
    <w:locked/>
    <w:uiPriority w:val="99"/>
    <w:rPr>
      <w:rFonts w:ascii="仿宋" w:hAnsi="仿宋" w:eastAsia="宋体" w:cs="Times New Roman"/>
      <w:b/>
      <w:color w:val="000000"/>
      <w:kern w:val="2"/>
      <w:sz w:val="24"/>
      <w:szCs w:val="24"/>
      <w:lang w:val="en-US" w:eastAsia="zh-CN" w:bidi="ar-SA"/>
    </w:rPr>
  </w:style>
  <w:style w:type="character" w:customStyle="1" w:styleId="35">
    <w:name w:val="题注 Char"/>
    <w:basedOn w:val="19"/>
    <w:link w:val="6"/>
    <w:qFormat/>
    <w:uiPriority w:val="35"/>
    <w:rPr>
      <w:rFonts w:ascii="Cambria" w:hAnsi="Cambria" w:eastAsia="黑体"/>
      <w:kern w:val="2"/>
    </w:rPr>
  </w:style>
  <w:style w:type="paragraph" w:customStyle="1" w:styleId="36">
    <w:name w:val="XN表头"/>
    <w:basedOn w:val="6"/>
    <w:qFormat/>
    <w:uiPriority w:val="0"/>
    <w:pPr>
      <w:spacing w:beforeLines="30" w:afterLines="20"/>
      <w:jc w:val="center"/>
    </w:pPr>
    <w:rPr>
      <w:rFonts w:eastAsia="宋体"/>
      <w:b/>
      <w:sz w:val="24"/>
    </w:rPr>
  </w:style>
  <w:style w:type="paragraph" w:customStyle="1" w:styleId="37">
    <w:name w:val="XN表内容"/>
    <w:basedOn w:val="1"/>
    <w:link w:val="38"/>
    <w:qFormat/>
    <w:uiPriority w:val="0"/>
    <w:pPr>
      <w:spacing w:line="264" w:lineRule="auto"/>
      <w:jc w:val="center"/>
    </w:pPr>
    <w:rPr>
      <w:rFonts w:ascii="仿宋" w:hAnsi="仿宋"/>
      <w:color w:val="000000"/>
      <w:kern w:val="2"/>
      <w:sz w:val="21"/>
      <w:szCs w:val="24"/>
      <w:lang w:eastAsia="zh-CN"/>
    </w:rPr>
  </w:style>
  <w:style w:type="character" w:customStyle="1" w:styleId="38">
    <w:name w:val="XN表内容 Char"/>
    <w:basedOn w:val="19"/>
    <w:link w:val="37"/>
    <w:qFormat/>
    <w:uiPriority w:val="0"/>
    <w:rPr>
      <w:rFonts w:ascii="仿宋" w:hAnsi="仿宋"/>
      <w:color w:val="000000"/>
      <w:kern w:val="2"/>
      <w:sz w:val="21"/>
      <w:szCs w:val="24"/>
    </w:rPr>
  </w:style>
  <w:style w:type="paragraph" w:customStyle="1" w:styleId="39">
    <w:name w:val="表头"/>
    <w:basedOn w:val="1"/>
    <w:link w:val="40"/>
    <w:qFormat/>
    <w:uiPriority w:val="0"/>
    <w:pPr>
      <w:adjustRightInd w:val="0"/>
      <w:snapToGrid w:val="0"/>
      <w:jc w:val="center"/>
    </w:pPr>
    <w:rPr>
      <w:rFonts w:ascii="宋体" w:hAnsi="宋体"/>
      <w:b/>
      <w:sz w:val="20"/>
      <w:szCs w:val="21"/>
      <w:lang w:eastAsia="zh-CN"/>
    </w:rPr>
  </w:style>
  <w:style w:type="character" w:customStyle="1" w:styleId="40">
    <w:name w:val="表头 Char"/>
    <w:link w:val="39"/>
    <w:qFormat/>
    <w:uiPriority w:val="0"/>
    <w:rPr>
      <w:rFonts w:ascii="宋体" w:hAnsi="宋体"/>
      <w:b/>
      <w:szCs w:val="21"/>
    </w:rPr>
  </w:style>
  <w:style w:type="paragraph" w:customStyle="1" w:styleId="41">
    <w:name w:val="表头五号"/>
    <w:basedOn w:val="1"/>
    <w:link w:val="42"/>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2">
    <w:name w:val="表头五号 Char"/>
    <w:basedOn w:val="19"/>
    <w:link w:val="41"/>
    <w:qFormat/>
    <w:uiPriority w:val="0"/>
    <w:rPr>
      <w:rFonts w:ascii="宋体" w:hAnsi="宋体"/>
      <w:b/>
      <w:kern w:val="2"/>
      <w:sz w:val="21"/>
      <w:szCs w:val="24"/>
    </w:rPr>
  </w:style>
  <w:style w:type="paragraph" w:customStyle="1" w:styleId="43">
    <w:name w:val="列出段落11"/>
    <w:basedOn w:val="1"/>
    <w:qFormat/>
    <w:uiPriority w:val="99"/>
    <w:pPr>
      <w:ind w:firstLine="420" w:firstLineChars="200"/>
      <w:jc w:val="both"/>
    </w:pPr>
    <w:rPr>
      <w:rFonts w:ascii="Times New Roman" w:hAnsi="Times New Roman"/>
      <w:kern w:val="2"/>
      <w:sz w:val="21"/>
      <w:szCs w:val="24"/>
      <w:lang w:eastAsia="zh-CN"/>
    </w:rPr>
  </w:style>
  <w:style w:type="character" w:customStyle="1" w:styleId="44">
    <w:name w:val="纯文本 Char"/>
    <w:basedOn w:val="19"/>
    <w:link w:val="9"/>
    <w:qFormat/>
    <w:uiPriority w:val="0"/>
    <w:rPr>
      <w:rFonts w:ascii="宋体" w:hAnsi="Courier New" w:cs="Courier New"/>
      <w:kern w:val="2"/>
      <w:sz w:val="21"/>
      <w:szCs w:val="21"/>
    </w:rPr>
  </w:style>
  <w:style w:type="paragraph" w:styleId="45">
    <w:name w:val="List Paragraph"/>
    <w:basedOn w:val="1"/>
    <w:unhideWhenUsed/>
    <w:qFormat/>
    <w:uiPriority w:val="99"/>
    <w:pPr>
      <w:ind w:firstLine="420" w:firstLineChars="200"/>
    </w:pPr>
  </w:style>
  <w:style w:type="character" w:customStyle="1" w:styleId="46">
    <w:name w:val="正文2 Char"/>
    <w:link w:val="47"/>
    <w:qFormat/>
    <w:uiPriority w:val="0"/>
    <w:rPr>
      <w:rFonts w:ascii="宋体" w:hAnsi="宋体"/>
      <w:color w:val="000000"/>
      <w:kern w:val="2"/>
      <w:sz w:val="24"/>
    </w:rPr>
  </w:style>
  <w:style w:type="paragraph" w:customStyle="1" w:styleId="47">
    <w:name w:val="正文2"/>
    <w:basedOn w:val="1"/>
    <w:link w:val="46"/>
    <w:qFormat/>
    <w:uiPriority w:val="0"/>
    <w:pPr>
      <w:adjustRightInd w:val="0"/>
      <w:spacing w:line="360" w:lineRule="auto"/>
      <w:ind w:firstLine="480" w:firstLineChars="200"/>
      <w:jc w:val="both"/>
    </w:pPr>
    <w:rPr>
      <w:rFonts w:ascii="宋体" w:hAnsi="宋体"/>
      <w:color w:val="000000"/>
      <w:kern w:val="2"/>
      <w:sz w:val="24"/>
      <w:szCs w:val="20"/>
      <w:lang w:eastAsia="zh-CN"/>
    </w:rPr>
  </w:style>
  <w:style w:type="paragraph" w:customStyle="1" w:styleId="48">
    <w:name w:val="列出段落5"/>
    <w:basedOn w:val="1"/>
    <w:unhideWhenUsed/>
    <w:qFormat/>
    <w:uiPriority w:val="34"/>
    <w:pPr>
      <w:ind w:firstLine="420" w:firstLineChars="200"/>
    </w:pPr>
  </w:style>
  <w:style w:type="paragraph" w:customStyle="1" w:styleId="49">
    <w:name w:val="表格内容"/>
    <w:basedOn w:val="1"/>
    <w:qFormat/>
    <w:uiPriority w:val="99"/>
    <w:pPr>
      <w:widowControl/>
      <w:spacing w:line="300" w:lineRule="auto"/>
      <w:jc w:val="left"/>
    </w:pPr>
    <w:rPr>
      <w:rFonts w:ascii="宋体"/>
      <w:spacing w:val="-2"/>
      <w:sz w:val="18"/>
      <w:szCs w:val="20"/>
    </w:rPr>
  </w:style>
  <w:style w:type="paragraph" w:customStyle="1" w:styleId="50">
    <w:name w:val="三级标题"/>
    <w:basedOn w:val="51"/>
    <w:qFormat/>
    <w:uiPriority w:val="0"/>
    <w:pPr>
      <w:spacing w:before="156" w:after="156"/>
    </w:pPr>
    <w:rPr>
      <w:sz w:val="24"/>
    </w:rPr>
  </w:style>
  <w:style w:type="paragraph" w:customStyle="1" w:styleId="51">
    <w:name w:val="三级"/>
    <w:basedOn w:val="1"/>
    <w:next w:val="1"/>
    <w:qFormat/>
    <w:uiPriority w:val="0"/>
    <w:pPr>
      <w:spacing w:beforeLines="50" w:afterLines="50" w:line="300" w:lineRule="auto"/>
      <w:jc w:val="left"/>
      <w:outlineLvl w:val="3"/>
    </w:pPr>
    <w:rPr>
      <w:b/>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customShpInfo spid="_x0000_s1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0892F6-38AD-40CC-8FB4-64E70EBB702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2010</Words>
  <Characters>11458</Characters>
  <Lines>95</Lines>
  <Paragraphs>26</Paragraphs>
  <TotalTime>79</TotalTime>
  <ScaleCrop>false</ScaleCrop>
  <LinksUpToDate>false</LinksUpToDate>
  <CharactersWithSpaces>13442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2019-02-14T07:49:00Z</dcterms:created>
  <dc:creator>赖凌祥</dc:creator>
  <cp:lastModifiedBy>方小娥</cp:lastModifiedBy>
  <cp:lastPrinted>2018-09-11T02:31:00Z</cp:lastPrinted>
  <dcterms:modified xsi:type="dcterms:W3CDTF">2022-06-16T04:20:17Z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4EE892611C2F4D3D86EBF6A79EF6E775</vt:lpwstr>
  </property>
</Properties>
</file>